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3B2" w:rsidRPr="005D2F69" w:rsidRDefault="00B533B2" w:rsidP="00B533B2">
      <w:pPr>
        <w:spacing w:before="200" w:after="0"/>
        <w:ind w:right="864"/>
        <w:jc w:val="center"/>
        <w:rPr>
          <w:rFonts w:asciiTheme="majorBidi" w:hAnsiTheme="majorBidi" w:cs="Times New Roman"/>
          <w:b/>
          <w:bCs/>
          <w:i/>
          <w:iCs/>
          <w:sz w:val="28"/>
          <w:szCs w:val="28"/>
        </w:rPr>
      </w:pPr>
      <w:r w:rsidRPr="005D2F69">
        <w:rPr>
          <w:rFonts w:asciiTheme="majorBidi" w:hAnsiTheme="majorBidi" w:cs="Times New Roman"/>
          <w:b/>
          <w:bCs/>
          <w:i/>
          <w:iCs/>
          <w:sz w:val="28"/>
          <w:szCs w:val="28"/>
        </w:rPr>
        <w:t>République Algérienne Démocratique et Populaire</w:t>
      </w:r>
      <w:r w:rsidRPr="005D2F69">
        <w:rPr>
          <w:i/>
          <w:iCs/>
          <w:sz w:val="28"/>
          <w:szCs w:val="28"/>
        </w:rPr>
        <w:t xml:space="preserve">                           </w:t>
      </w:r>
      <w:r w:rsidRPr="005D2F69">
        <w:rPr>
          <w:rFonts w:asciiTheme="majorBidi" w:hAnsiTheme="majorBidi" w:cs="Times New Roman"/>
          <w:b/>
          <w:bCs/>
          <w:i/>
          <w:iCs/>
          <w:sz w:val="28"/>
          <w:szCs w:val="28"/>
        </w:rPr>
        <w:t>Ministère de l’enseignement supérieur et de la recherche scientifique</w:t>
      </w:r>
    </w:p>
    <w:p w:rsidR="00B533B2" w:rsidRPr="005D2F69" w:rsidRDefault="00B533B2" w:rsidP="00B533B2">
      <w:pPr>
        <w:spacing w:after="0"/>
        <w:jc w:val="center"/>
        <w:rPr>
          <w:i/>
          <w:iCs/>
          <w:sz w:val="28"/>
          <w:szCs w:val="28"/>
        </w:rPr>
      </w:pPr>
      <w:r w:rsidRPr="005D2F69">
        <w:rPr>
          <w:rFonts w:asciiTheme="majorBidi" w:hAnsiTheme="majorBidi" w:cs="Times New Roman"/>
          <w:b/>
          <w:bCs/>
          <w:i/>
          <w:iCs/>
          <w:sz w:val="28"/>
          <w:szCs w:val="28"/>
        </w:rPr>
        <w:t>Centre Universitaire Abdelhafid Boussouf-Mila</w:t>
      </w:r>
    </w:p>
    <w:p w:rsidR="00B533B2" w:rsidRPr="005D2F69" w:rsidRDefault="00B533B2" w:rsidP="00B533B2">
      <w:pPr>
        <w:spacing w:before="200" w:after="0"/>
        <w:ind w:left="864" w:right="864"/>
        <w:jc w:val="center"/>
        <w:rPr>
          <w:rFonts w:asciiTheme="majorBidi" w:hAnsiTheme="majorBidi" w:cs="Times New Roman"/>
          <w:b/>
          <w:bCs/>
          <w:i/>
          <w:iCs/>
          <w:sz w:val="28"/>
          <w:szCs w:val="28"/>
        </w:rPr>
      </w:pPr>
      <w:r w:rsidRPr="005D2F69">
        <w:rPr>
          <w:rFonts w:asciiTheme="majorBidi" w:hAnsiTheme="majorBidi" w:cs="Times New Roman"/>
          <w:b/>
          <w:bCs/>
          <w:i/>
          <w:iCs/>
          <w:sz w:val="28"/>
          <w:szCs w:val="28"/>
        </w:rPr>
        <w:t>Institut des lettres et des langues étrangères</w:t>
      </w:r>
    </w:p>
    <w:p w:rsidR="00B533B2" w:rsidRPr="005D2F69" w:rsidRDefault="00B533B2" w:rsidP="00B533B2">
      <w:pPr>
        <w:spacing w:before="200" w:after="0"/>
        <w:ind w:left="864" w:right="864"/>
        <w:jc w:val="center"/>
        <w:rPr>
          <w:rFonts w:asciiTheme="majorBidi" w:hAnsiTheme="majorBidi" w:cs="Times New Roman"/>
          <w:b/>
          <w:bCs/>
          <w:i/>
          <w:iCs/>
          <w:sz w:val="28"/>
          <w:szCs w:val="28"/>
        </w:rPr>
      </w:pPr>
      <w:r w:rsidRPr="005D2F69">
        <w:rPr>
          <w:rFonts w:asciiTheme="majorBidi" w:hAnsiTheme="majorBidi" w:cs="Times New Roman"/>
          <w:b/>
          <w:bCs/>
          <w:i/>
          <w:iCs/>
          <w:sz w:val="28"/>
          <w:szCs w:val="28"/>
        </w:rPr>
        <w:t>Département de français</w:t>
      </w:r>
    </w:p>
    <w:p w:rsidR="00B533B2" w:rsidRPr="005D2F69" w:rsidRDefault="00B533B2" w:rsidP="00B533B2">
      <w:pPr>
        <w:spacing w:before="200"/>
        <w:ind w:left="864" w:right="864"/>
        <w:jc w:val="center"/>
        <w:rPr>
          <w:rFonts w:asciiTheme="majorBidi" w:hAnsiTheme="majorBidi" w:cs="Times New Roman"/>
          <w:b/>
          <w:bCs/>
          <w:i/>
          <w:iCs/>
          <w:sz w:val="28"/>
          <w:szCs w:val="28"/>
          <w:u w:val="single"/>
        </w:rPr>
      </w:pPr>
    </w:p>
    <w:p w:rsidR="00B533B2" w:rsidRPr="005D2F69" w:rsidRDefault="00B533B2" w:rsidP="00B533B2">
      <w:pPr>
        <w:spacing w:before="200"/>
        <w:ind w:left="864" w:right="864"/>
        <w:jc w:val="center"/>
        <w:rPr>
          <w:rFonts w:asciiTheme="majorBidi" w:hAnsiTheme="majorBidi" w:cs="Times New Roman"/>
          <w:b/>
          <w:bCs/>
          <w:i/>
          <w:iCs/>
          <w:sz w:val="28"/>
          <w:szCs w:val="28"/>
          <w:u w:val="single"/>
        </w:rPr>
      </w:pPr>
    </w:p>
    <w:p w:rsidR="00B533B2" w:rsidRPr="005D2F69" w:rsidRDefault="00B533B2" w:rsidP="00B533B2">
      <w:pPr>
        <w:spacing w:before="200"/>
        <w:ind w:left="864" w:right="864"/>
        <w:jc w:val="center"/>
        <w:rPr>
          <w:rFonts w:asciiTheme="majorBidi" w:hAnsiTheme="majorBidi" w:cs="Times New Roman"/>
          <w:b/>
          <w:bCs/>
          <w:i/>
          <w:iCs/>
          <w:sz w:val="28"/>
          <w:szCs w:val="28"/>
          <w:u w:val="single"/>
        </w:rPr>
      </w:pPr>
    </w:p>
    <w:p w:rsidR="00B533B2" w:rsidRPr="005D2F69" w:rsidRDefault="00B533B2" w:rsidP="00B533B2">
      <w:pPr>
        <w:rPr>
          <w:sz w:val="28"/>
          <w:szCs w:val="28"/>
        </w:rPr>
      </w:pPr>
    </w:p>
    <w:p w:rsidR="00B533B2" w:rsidRPr="005D2F69" w:rsidRDefault="00B533B2" w:rsidP="00B533B2">
      <w:pPr>
        <w:autoSpaceDE w:val="0"/>
        <w:autoSpaceDN w:val="0"/>
        <w:adjustRightInd w:val="0"/>
        <w:spacing w:after="0" w:line="60" w:lineRule="atLeast"/>
        <w:rPr>
          <w:rFonts w:asciiTheme="majorBidi" w:eastAsia="ArialMT" w:hAnsiTheme="majorBidi" w:cs="Times New Roman"/>
          <w:b/>
          <w:bCs/>
          <w:sz w:val="28"/>
          <w:szCs w:val="28"/>
        </w:rPr>
      </w:pPr>
      <w:r w:rsidRPr="005D2F69">
        <w:rPr>
          <w:rFonts w:asciiTheme="majorBidi" w:eastAsia="ArialMT" w:hAnsiTheme="majorBidi" w:cs="Times New Roman"/>
          <w:b/>
          <w:bCs/>
          <w:sz w:val="28"/>
          <w:szCs w:val="28"/>
        </w:rPr>
        <w:t>Niveau : M</w:t>
      </w:r>
      <w:r w:rsidRPr="005D2F69">
        <w:rPr>
          <w:rFonts w:asciiTheme="majorBidi" w:eastAsia="ArialMT" w:hAnsiTheme="majorBidi" w:cs="Times New Roman"/>
          <w:sz w:val="28"/>
          <w:szCs w:val="28"/>
        </w:rPr>
        <w:t>aster</w:t>
      </w:r>
      <w:r w:rsidRPr="005D2F69">
        <w:rPr>
          <w:rFonts w:asciiTheme="majorBidi" w:eastAsia="ArialMT" w:hAnsiTheme="majorBidi" w:cs="Times New Roman"/>
          <w:b/>
          <w:bCs/>
          <w:sz w:val="28"/>
          <w:szCs w:val="28"/>
        </w:rPr>
        <w:t xml:space="preserve"> I / </w:t>
      </w:r>
      <w:r w:rsidRPr="005D2F69">
        <w:rPr>
          <w:rFonts w:asciiTheme="majorBidi" w:eastAsia="ArialMT" w:hAnsiTheme="majorBidi" w:cs="Times New Roman"/>
          <w:sz w:val="28"/>
          <w:szCs w:val="28"/>
        </w:rPr>
        <w:t>SDL</w:t>
      </w:r>
    </w:p>
    <w:p w:rsidR="00B533B2" w:rsidRPr="005D2F69" w:rsidRDefault="00B533B2" w:rsidP="00B533B2">
      <w:pPr>
        <w:autoSpaceDE w:val="0"/>
        <w:autoSpaceDN w:val="0"/>
        <w:adjustRightInd w:val="0"/>
        <w:spacing w:after="0" w:line="60" w:lineRule="atLeast"/>
        <w:rPr>
          <w:rFonts w:asciiTheme="majorBidi" w:eastAsia="ArialMT" w:hAnsiTheme="majorBidi" w:cs="Times New Roman"/>
          <w:b/>
          <w:bCs/>
          <w:sz w:val="28"/>
          <w:szCs w:val="28"/>
        </w:rPr>
      </w:pPr>
      <w:r w:rsidRPr="005D2F69">
        <w:rPr>
          <w:rFonts w:asciiTheme="majorBidi" w:eastAsia="ArialMT" w:hAnsiTheme="majorBidi" w:cs="Times New Roman"/>
          <w:b/>
          <w:bCs/>
          <w:sz w:val="28"/>
          <w:szCs w:val="28"/>
        </w:rPr>
        <w:t>Module : T</w:t>
      </w:r>
      <w:r w:rsidRPr="005D2F69">
        <w:rPr>
          <w:rFonts w:asciiTheme="majorBidi" w:eastAsia="ArialMT" w:hAnsiTheme="majorBidi" w:cs="Times New Roman"/>
          <w:sz w:val="28"/>
          <w:szCs w:val="28"/>
        </w:rPr>
        <w:t>héories</w:t>
      </w:r>
      <w:r w:rsidRPr="005D2F69">
        <w:rPr>
          <w:rFonts w:asciiTheme="majorBidi" w:eastAsia="ArialMT" w:hAnsiTheme="majorBidi" w:cs="Times New Roman"/>
          <w:b/>
          <w:bCs/>
          <w:sz w:val="28"/>
          <w:szCs w:val="28"/>
        </w:rPr>
        <w:t xml:space="preserve"> </w:t>
      </w:r>
      <w:r w:rsidRPr="005D2F69">
        <w:rPr>
          <w:rFonts w:asciiTheme="majorBidi" w:eastAsia="ArialMT" w:hAnsiTheme="majorBidi" w:cs="Times New Roman"/>
          <w:sz w:val="28"/>
          <w:szCs w:val="28"/>
        </w:rPr>
        <w:t>et</w:t>
      </w:r>
      <w:r w:rsidRPr="005D2F69">
        <w:rPr>
          <w:rFonts w:asciiTheme="majorBidi" w:eastAsia="ArialMT" w:hAnsiTheme="majorBidi" w:cs="Times New Roman"/>
          <w:b/>
          <w:bCs/>
          <w:sz w:val="28"/>
          <w:szCs w:val="28"/>
        </w:rPr>
        <w:t xml:space="preserve"> d</w:t>
      </w:r>
      <w:r w:rsidRPr="005D2F69">
        <w:rPr>
          <w:rFonts w:asciiTheme="majorBidi" w:eastAsia="ArialMT" w:hAnsiTheme="majorBidi" w:cs="Times New Roman"/>
          <w:sz w:val="28"/>
          <w:szCs w:val="28"/>
        </w:rPr>
        <w:t>émarches</w:t>
      </w:r>
      <w:r w:rsidRPr="005D2F69">
        <w:rPr>
          <w:rFonts w:asciiTheme="majorBidi" w:eastAsia="ArialMT" w:hAnsiTheme="majorBidi" w:cs="Times New Roman"/>
          <w:b/>
          <w:bCs/>
          <w:sz w:val="28"/>
          <w:szCs w:val="28"/>
        </w:rPr>
        <w:t xml:space="preserve"> </w:t>
      </w:r>
      <w:r w:rsidRPr="005D2F69">
        <w:rPr>
          <w:rFonts w:asciiTheme="majorBidi" w:eastAsia="ArialMT" w:hAnsiTheme="majorBidi" w:cs="Times New Roman"/>
          <w:sz w:val="28"/>
          <w:szCs w:val="28"/>
        </w:rPr>
        <w:t xml:space="preserve">en </w:t>
      </w:r>
      <w:r w:rsidRPr="005D2F69">
        <w:rPr>
          <w:rFonts w:asciiTheme="majorBidi" w:eastAsia="ArialMT" w:hAnsiTheme="majorBidi" w:cs="Times New Roman"/>
          <w:b/>
          <w:bCs/>
          <w:sz w:val="28"/>
          <w:szCs w:val="28"/>
        </w:rPr>
        <w:t>d</w:t>
      </w:r>
      <w:r w:rsidRPr="005D2F69">
        <w:rPr>
          <w:rFonts w:asciiTheme="majorBidi" w:eastAsia="ArialMT" w:hAnsiTheme="majorBidi" w:cs="Times New Roman"/>
          <w:sz w:val="28"/>
          <w:szCs w:val="28"/>
        </w:rPr>
        <w:t>idactique</w:t>
      </w:r>
      <w:r w:rsidRPr="005D2F69">
        <w:rPr>
          <w:rFonts w:asciiTheme="majorBidi" w:eastAsia="ArialMT" w:hAnsiTheme="majorBidi" w:cs="Times New Roman"/>
          <w:b/>
          <w:bCs/>
          <w:sz w:val="28"/>
          <w:szCs w:val="28"/>
        </w:rPr>
        <w:t xml:space="preserve"> </w:t>
      </w:r>
    </w:p>
    <w:p w:rsidR="00B533B2" w:rsidRPr="005D2F69" w:rsidRDefault="00B533B2" w:rsidP="00B533B2">
      <w:pPr>
        <w:autoSpaceDE w:val="0"/>
        <w:autoSpaceDN w:val="0"/>
        <w:adjustRightInd w:val="0"/>
        <w:spacing w:after="0" w:line="60" w:lineRule="atLeast"/>
        <w:rPr>
          <w:rFonts w:asciiTheme="majorBidi" w:eastAsia="ArialMT" w:hAnsiTheme="majorBidi" w:cs="Times New Roman"/>
          <w:b/>
          <w:bCs/>
          <w:sz w:val="28"/>
          <w:szCs w:val="28"/>
        </w:rPr>
      </w:pPr>
      <w:r w:rsidRPr="005D2F69">
        <w:rPr>
          <w:rFonts w:asciiTheme="majorBidi" w:eastAsia="ArialMT" w:hAnsiTheme="majorBidi" w:cs="Times New Roman"/>
          <w:b/>
          <w:bCs/>
          <w:sz w:val="28"/>
          <w:szCs w:val="28"/>
        </w:rPr>
        <w:t>Enseignant : Dr. A</w:t>
      </w:r>
      <w:r w:rsidRPr="005D2F69">
        <w:rPr>
          <w:rFonts w:asciiTheme="majorBidi" w:eastAsia="ArialMT" w:hAnsiTheme="majorBidi" w:cs="Times New Roman"/>
          <w:sz w:val="28"/>
          <w:szCs w:val="28"/>
        </w:rPr>
        <w:t>ZZOUZI</w:t>
      </w:r>
      <w:r w:rsidRPr="005D2F69">
        <w:rPr>
          <w:rFonts w:asciiTheme="majorBidi" w:eastAsia="ArialMT" w:hAnsiTheme="majorBidi" w:cs="Times New Roman"/>
          <w:b/>
          <w:bCs/>
          <w:sz w:val="28"/>
          <w:szCs w:val="28"/>
        </w:rPr>
        <w:t>. T</w:t>
      </w:r>
      <w:r w:rsidRPr="005D2F69">
        <w:rPr>
          <w:rFonts w:asciiTheme="majorBidi" w:eastAsia="ArialMT" w:hAnsiTheme="majorBidi" w:cs="Times New Roman"/>
          <w:sz w:val="28"/>
          <w:szCs w:val="28"/>
        </w:rPr>
        <w:t>arek</w:t>
      </w:r>
    </w:p>
    <w:p w:rsidR="00B533B2" w:rsidRPr="005D2F69" w:rsidRDefault="00B533B2" w:rsidP="00B533B2">
      <w:pPr>
        <w:rPr>
          <w:rFonts w:ascii="Times New Roman" w:hAnsi="Times New Roman" w:cs="Times New Roman"/>
          <w:b/>
          <w:bCs/>
          <w:sz w:val="28"/>
          <w:szCs w:val="28"/>
        </w:rPr>
      </w:pPr>
      <w:r w:rsidRPr="005D2F69">
        <w:rPr>
          <w:rFonts w:ascii="Times New Roman" w:hAnsi="Times New Roman" w:cs="Times New Roman"/>
          <w:b/>
          <w:bCs/>
          <w:sz w:val="28"/>
          <w:szCs w:val="28"/>
        </w:rPr>
        <w:t xml:space="preserve">Semestre : </w:t>
      </w:r>
    </w:p>
    <w:p w:rsidR="00B533B2" w:rsidRPr="005D2F69" w:rsidRDefault="00B533B2" w:rsidP="00B533B2"/>
    <w:p w:rsidR="00B533B2" w:rsidRPr="005D2F69" w:rsidRDefault="00B533B2" w:rsidP="00B533B2"/>
    <w:p w:rsidR="00B533B2" w:rsidRPr="005D2F69" w:rsidRDefault="00B533B2" w:rsidP="00B533B2"/>
    <w:p w:rsidR="00B533B2" w:rsidRPr="005D2F69" w:rsidRDefault="00B533B2" w:rsidP="00B533B2"/>
    <w:p w:rsidR="00B533B2" w:rsidRPr="005D2F69" w:rsidRDefault="00B533B2" w:rsidP="00B533B2">
      <w:pPr>
        <w:jc w:val="center"/>
        <w:rPr>
          <w:rFonts w:ascii="Times New Roman" w:hAnsi="Times New Roman" w:cs="Times New Roman"/>
          <w:b/>
          <w:bCs/>
          <w:sz w:val="28"/>
          <w:szCs w:val="28"/>
        </w:rPr>
      </w:pPr>
    </w:p>
    <w:p w:rsidR="00B533B2" w:rsidRPr="005D2F69" w:rsidRDefault="00B533B2" w:rsidP="00B533B2">
      <w:pPr>
        <w:jc w:val="center"/>
        <w:rPr>
          <w:rFonts w:ascii="Times New Roman" w:hAnsi="Times New Roman" w:cs="Times New Roman"/>
          <w:b/>
          <w:bCs/>
          <w:sz w:val="28"/>
          <w:szCs w:val="28"/>
        </w:rPr>
      </w:pPr>
    </w:p>
    <w:p w:rsidR="00B533B2" w:rsidRPr="005D2F69" w:rsidRDefault="00B533B2" w:rsidP="00B533B2">
      <w:pPr>
        <w:jc w:val="center"/>
        <w:rPr>
          <w:rFonts w:ascii="Times New Roman" w:hAnsi="Times New Roman" w:cs="Times New Roman"/>
          <w:b/>
          <w:bCs/>
          <w:sz w:val="28"/>
          <w:szCs w:val="28"/>
        </w:rPr>
      </w:pPr>
    </w:p>
    <w:p w:rsidR="00B533B2" w:rsidRPr="005D2F69" w:rsidRDefault="00B533B2" w:rsidP="00B533B2">
      <w:pPr>
        <w:jc w:val="center"/>
        <w:rPr>
          <w:rFonts w:ascii="Times New Roman" w:hAnsi="Times New Roman" w:cs="Times New Roman"/>
          <w:b/>
          <w:bCs/>
          <w:sz w:val="28"/>
          <w:szCs w:val="28"/>
        </w:rPr>
      </w:pPr>
    </w:p>
    <w:p w:rsidR="00B533B2" w:rsidRPr="005D2F69" w:rsidRDefault="00B533B2" w:rsidP="00B533B2">
      <w:pPr>
        <w:jc w:val="center"/>
        <w:rPr>
          <w:rFonts w:ascii="Times New Roman" w:hAnsi="Times New Roman" w:cs="Times New Roman"/>
          <w:b/>
          <w:bCs/>
          <w:sz w:val="28"/>
          <w:szCs w:val="28"/>
        </w:rPr>
      </w:pPr>
    </w:p>
    <w:p w:rsidR="00B533B2" w:rsidRPr="005D2F69" w:rsidRDefault="00B533B2" w:rsidP="00B533B2">
      <w:pPr>
        <w:jc w:val="center"/>
        <w:rPr>
          <w:rFonts w:ascii="Times New Roman" w:hAnsi="Times New Roman" w:cs="Times New Roman"/>
          <w:sz w:val="32"/>
          <w:szCs w:val="32"/>
        </w:rPr>
      </w:pPr>
      <w:r w:rsidRPr="005D2F69">
        <w:rPr>
          <w:rFonts w:ascii="Times New Roman" w:hAnsi="Times New Roman" w:cs="Times New Roman"/>
          <w:b/>
          <w:bCs/>
          <w:sz w:val="32"/>
          <w:szCs w:val="32"/>
        </w:rPr>
        <w:t xml:space="preserve">Année universitaire : </w:t>
      </w:r>
      <w:r w:rsidRPr="005D2F69">
        <w:rPr>
          <w:rFonts w:ascii="Times New Roman" w:hAnsi="Times New Roman" w:cs="Times New Roman"/>
          <w:sz w:val="32"/>
          <w:szCs w:val="32"/>
        </w:rPr>
        <w:t>20024/2025</w:t>
      </w:r>
    </w:p>
    <w:p w:rsidR="00B533B2" w:rsidRPr="005D2F69" w:rsidRDefault="00B533B2" w:rsidP="00B533B2"/>
    <w:p w:rsidR="00B533B2" w:rsidRPr="00377924" w:rsidRDefault="00B533B2" w:rsidP="00B533B2">
      <w:pPr>
        <w:rPr>
          <w:b/>
          <w:bCs/>
          <w:sz w:val="24"/>
          <w:szCs w:val="24"/>
        </w:rPr>
      </w:pPr>
    </w:p>
    <w:p w:rsidR="00377924" w:rsidRPr="00377924" w:rsidRDefault="00377924">
      <w:pPr>
        <w:rPr>
          <w:b/>
          <w:bCs/>
          <w:sz w:val="24"/>
          <w:szCs w:val="24"/>
        </w:rPr>
      </w:pPr>
    </w:p>
    <w:p w:rsidR="00B533B2" w:rsidRPr="005D2F69" w:rsidRDefault="00B533B2"/>
    <w:p w:rsidR="00B533B2" w:rsidRDefault="00B533B2"/>
    <w:p w:rsidR="00D2208A" w:rsidRPr="005D2F69" w:rsidRDefault="00D2208A"/>
    <w:p w:rsidR="005D2F69" w:rsidRDefault="00807B55">
      <w:r>
        <w:rPr>
          <w:rFonts w:ascii="Times New Roman" w:eastAsia="Arial" w:hAnsi="Times New Roman" w:cs="Times New Roman"/>
          <w:b/>
          <w:bCs/>
          <w:noProof/>
          <w:color w:val="000000"/>
          <w:sz w:val="32"/>
          <w:szCs w:val="32"/>
          <w:lang w:eastAsia="fr-FR"/>
        </w:rPr>
        <w:lastRenderedPageBreak/>
        <mc:AlternateContent>
          <mc:Choice Requires="wps">
            <w:drawing>
              <wp:anchor distT="0" distB="0" distL="114300" distR="114300" simplePos="0" relativeHeight="251659264" behindDoc="0" locked="0" layoutInCell="1" allowOverlap="1" wp14:anchorId="693F8C94" wp14:editId="4600E7E0">
                <wp:simplePos x="0" y="0"/>
                <wp:positionH relativeFrom="column">
                  <wp:posOffset>-1270</wp:posOffset>
                </wp:positionH>
                <wp:positionV relativeFrom="paragraph">
                  <wp:posOffset>-92710</wp:posOffset>
                </wp:positionV>
                <wp:extent cx="5410200" cy="937260"/>
                <wp:effectExtent l="0" t="0" r="19050" b="15240"/>
                <wp:wrapNone/>
                <wp:docPr id="1" name="Rectangle à coins arrondis 1"/>
                <wp:cNvGraphicFramePr/>
                <a:graphic xmlns:a="http://schemas.openxmlformats.org/drawingml/2006/main">
                  <a:graphicData uri="http://schemas.microsoft.com/office/word/2010/wordprocessingShape">
                    <wps:wsp>
                      <wps:cNvSpPr/>
                      <wps:spPr>
                        <a:xfrm>
                          <a:off x="0" y="0"/>
                          <a:ext cx="5410200" cy="93726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807B55" w:rsidRDefault="00807B55" w:rsidP="00807B55">
                            <w:pPr>
                              <w:jc w:val="center"/>
                            </w:pPr>
                            <w:r w:rsidRPr="00A602D2">
                              <w:rPr>
                                <w:rFonts w:ascii="Times New Roman" w:eastAsia="Arial" w:hAnsi="Times New Roman" w:cs="Times New Roman"/>
                                <w:b/>
                                <w:bCs/>
                                <w:color w:val="000000"/>
                                <w:sz w:val="32"/>
                                <w:szCs w:val="32"/>
                                <w:lang w:eastAsia="fr-FR"/>
                              </w:rPr>
                              <w:t>Cours 0</w:t>
                            </w:r>
                            <w:r>
                              <w:rPr>
                                <w:rFonts w:ascii="Times New Roman" w:eastAsia="Arial" w:hAnsi="Times New Roman" w:cs="Times New Roman"/>
                                <w:b/>
                                <w:bCs/>
                                <w:color w:val="000000"/>
                                <w:sz w:val="32"/>
                                <w:szCs w:val="32"/>
                                <w:lang w:eastAsia="fr-FR"/>
                              </w:rPr>
                              <w:t>4</w:t>
                            </w:r>
                            <w:r w:rsidRPr="00A602D2">
                              <w:rPr>
                                <w:rFonts w:ascii="Times New Roman" w:eastAsia="Arial" w:hAnsi="Times New Roman" w:cs="Times New Roman"/>
                                <w:b/>
                                <w:bCs/>
                                <w:color w:val="000000"/>
                                <w:sz w:val="32"/>
                                <w:szCs w:val="32"/>
                                <w:lang w:eastAsia="fr-FR"/>
                              </w:rPr>
                              <w:t xml:space="preserve"> : </w:t>
                            </w:r>
                            <w:r w:rsidRPr="00E5143C">
                              <w:rPr>
                                <w:rFonts w:ascii="Times New Roman" w:eastAsia="Arial" w:hAnsi="Times New Roman" w:cs="Times New Roman"/>
                                <w:b/>
                                <w:bCs/>
                                <w:color w:val="000000"/>
                                <w:sz w:val="32"/>
                                <w:szCs w:val="32"/>
                                <w:lang w:eastAsia="fr-FR"/>
                              </w:rPr>
                              <w:t xml:space="preserve">La langue étrangère, la langue maternelle et la langue seconde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3F8C94" id="Rectangle à coins arrondis 1" o:spid="_x0000_s1026" style="position:absolute;margin-left:-.1pt;margin-top:-7.3pt;width:426pt;height:7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" fillcolor="#5b9bd5" strokecolor="#41719c" strokeweight="1pt">
                <v:stroke joinstyle="miter"/>
                <v:textbox>
                  <w:txbxContent>
                    <w:p w:rsidR="00807B55" w:rsidRDefault="00807B55" w:rsidP="00807B55">
                      <w:pPr>
                        <w:jc w:val="center"/>
                      </w:pPr>
                      <w:r w:rsidRPr="00A602D2">
                        <w:rPr>
                          <w:rFonts w:ascii="Times New Roman" w:eastAsia="Arial" w:hAnsi="Times New Roman" w:cs="Times New Roman"/>
                          <w:b/>
                          <w:bCs/>
                          <w:color w:val="000000"/>
                          <w:sz w:val="32"/>
                          <w:szCs w:val="32"/>
                          <w:lang w:eastAsia="fr-FR"/>
                        </w:rPr>
                        <w:t>Cours 0</w:t>
                      </w:r>
                      <w:r>
                        <w:rPr>
                          <w:rFonts w:ascii="Times New Roman" w:eastAsia="Arial" w:hAnsi="Times New Roman" w:cs="Times New Roman"/>
                          <w:b/>
                          <w:bCs/>
                          <w:color w:val="000000"/>
                          <w:sz w:val="32"/>
                          <w:szCs w:val="32"/>
                          <w:lang w:eastAsia="fr-FR"/>
                        </w:rPr>
                        <w:t>4</w:t>
                      </w:r>
                      <w:r w:rsidRPr="00A602D2">
                        <w:rPr>
                          <w:rFonts w:ascii="Times New Roman" w:eastAsia="Arial" w:hAnsi="Times New Roman" w:cs="Times New Roman"/>
                          <w:b/>
                          <w:bCs/>
                          <w:color w:val="000000"/>
                          <w:sz w:val="32"/>
                          <w:szCs w:val="32"/>
                          <w:lang w:eastAsia="fr-FR"/>
                        </w:rPr>
                        <w:t xml:space="preserve"> : </w:t>
                      </w:r>
                      <w:r w:rsidRPr="00E5143C">
                        <w:rPr>
                          <w:rFonts w:ascii="Times New Roman" w:eastAsia="Arial" w:hAnsi="Times New Roman" w:cs="Times New Roman"/>
                          <w:b/>
                          <w:bCs/>
                          <w:color w:val="000000"/>
                          <w:sz w:val="32"/>
                          <w:szCs w:val="32"/>
                          <w:lang w:eastAsia="fr-FR"/>
                        </w:rPr>
                        <w:t xml:space="preserve">La langue étrangère, la langue maternelle et la langue seconde  </w:t>
                      </w:r>
                    </w:p>
                  </w:txbxContent>
                </v:textbox>
              </v:roundrect>
            </w:pict>
          </mc:Fallback>
        </mc:AlternateContent>
      </w:r>
    </w:p>
    <w:p w:rsidR="005D2F69" w:rsidRDefault="005D2F69" w:rsidP="005D2F69"/>
    <w:p w:rsidR="002D6742" w:rsidRDefault="002D6742" w:rsidP="005D2F69">
      <w:pPr>
        <w:jc w:val="right"/>
      </w:pPr>
    </w:p>
    <w:p w:rsidR="005D2F69" w:rsidRDefault="005D2F69" w:rsidP="005D2F69">
      <w:pPr>
        <w:jc w:val="right"/>
      </w:pPr>
    </w:p>
    <w:p w:rsidR="009F4568" w:rsidRPr="00DB0572" w:rsidRDefault="009F4568" w:rsidP="009F4568">
      <w:pPr>
        <w:pStyle w:val="Paragraphedeliste"/>
        <w:numPr>
          <w:ilvl w:val="0"/>
          <w:numId w:val="4"/>
        </w:numPr>
        <w:ind w:left="284" w:hanging="284"/>
        <w:jc w:val="both"/>
        <w:rPr>
          <w:rFonts w:ascii="Times New Roman" w:hAnsi="Times New Roman" w:cs="Times New Roman"/>
          <w:b/>
          <w:bCs/>
          <w:sz w:val="24"/>
          <w:szCs w:val="24"/>
        </w:rPr>
      </w:pPr>
      <w:r w:rsidRPr="00DB0572">
        <w:rPr>
          <w:rFonts w:ascii="Times New Roman" w:hAnsi="Times New Roman" w:cs="Times New Roman"/>
          <w:b/>
          <w:bCs/>
          <w:sz w:val="24"/>
          <w:szCs w:val="24"/>
        </w:rPr>
        <w:t>Introduction</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L'acquisition des langues est un processus complexe qui englobe plusieurs dimensions, notamment la langue maternelle, la langue étrangère et la langue seconde. Selon Cuq &amp; Gruca (2005), il est primordial de bien définir ces concepts pour comprendre les dynamiques d’apprentissage qui leur sont associées.</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La langue maternelle (L1) est celle que l’individu apprend dès la naissance, généralement dans un environnement familial. Elle joue un rôle fondamental dans le développement cognitif et linguistique de l’apprenant. En tant que premier système linguistique intégré, la langue maternelle influence considérablement l'acquisition d’autres langues, qu'il s'agisse d'une langue étrangère ou d'une langue seconde. Cette influence se manifeste notamment dans la structuration de la pensée et les aptitudes à assimiler de nouveaux systèmes linguistiques.</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La langue seconde (L2), quant à elle, est apprise dans un contexte où elle est utilisée quotidiennement, ce qui permet à l’apprenant de l’entendre et de la pratiquer régulièrement. Dans certains pays multilingues, la langue seconde peut être une langue co-officielle ou une langue de scolarisation, utilisée dans les interactions sociales, les médias et les institutions. En Algérie, par exemple, le français joue souvent ce rôle de langue seconde, car il est présent dans divers domaines de la vie quotidienne, bien qu'il ne soit pas la langue maternelle de la majorité de la population.</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En revanche, la langue étrangère (FLE) est apprise dans un cadre institutionnel et n'est pas utilisée dans la vie quotidienne de l’apprenant. L’absence de contact régulier avec la langue constitue un défi particulier, car elle limite les opportunités d'exposition naturelle à la langue. Par conséquent, l'enseignement d'une langue étrangère exige des stratégies pédagogiques spécifiques visant à compenser cette absence d'immersion. Les enseignants doivent alors multiplier les occasions pour les élèves de s'exercer dans des contextes communicatifs simulés. En somme, chaque type de langue (maternelle, seconde ou étrangère) impose des exigences distinctes en termes d'approches pédagogiques, comme le souligne Cuq &amp; Gruca (2005).</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L’enseignement des langues, en particulier des langues étrangères et secondes, a progressivement gagné en importance au fil des décennies. Comme l'explique Porcher (1995), l’émergence de cette discipline en tant que champ d'étude scientifique a coïncidé avec une augmentation des besoins en communication interculturelle dans un monde de plus en plus globalisé. L’apprentissage des langues est devenu un enjeu non seulement pour les individus, mais aussi pour les sociétés et les systèmes éducatifs qui cherchent à former des citoyens capables de participer à des interactions internationales.</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lastRenderedPageBreak/>
        <w:t>Historiquement, l’enseignement des langues étrangères et secondes était principalement réservé aux élites commerciales et diplomatiques. Toutefois, avec la démocratisation de l’éducation et l'essor des échanges internationaux, l’apprentissage des langues s'est progressivement institutionnalisé, devenant une composante essentielle des curriculums scolaires dans de nombreux pays. Les premières méthodes d'enseignement, souvent centrées sur la grammaire et la traduction, étaient principalement axées sur l'analyse linguistique et la mémorisation de règles et de vocabulaire. Cette approche, bien que rigoureuse, présentait l’inconvénient de négliger l’aspect communicatif de la langue.</w:t>
      </w:r>
    </w:p>
    <w:p w:rsidR="009F4568" w:rsidRPr="00DB0572" w:rsidRDefault="009F4568" w:rsidP="00C34603">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Avec l'avènement des théories de l'apprentissage basées sur la communication, une transition vers des méthodes plus interactives s’est opérée. Ces nouvelles méthodes, telles que l'approche communicative, mettent l'accent sur la capacité des apprenants à utiliser la langue dans des contextes réels. Elles cherchent à développer non seulement la maîtrise des structures linguistiques, mais aussi l'aisance à interagir dans des situations de la vie quotidienne, que ce soit à l’oral ou à l’écrit. Selon Porcher (1995), cette évolution a été un tournant majeur dans la manière d’enseigner les langues, favorisant une plus grande autonomie des apprenants.</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L'émergence de l’enseignement des langues comme une discipline scientifique s'est accompagnée d'une conceptualisation théorique plus fine de l'apprentissage linguistique. Des chercheurs comme Bloom (1982), avec sa taxonomie des objectifs pédagogiques, ont contribué à structurer cet enseignement autour d’objectifs précis, prenant en compte les aspects cognitifs, affectifs et psychomoteurs de l’apprentissage. La taxonomie de Bloom est devenue un cadre de référence pour les enseignants, leur permettant de planifier des activités d'apprentissage adaptées aux différents niveaux de compétence des élèves, en ciblant des objectifs clairs tels que la compréhension, l'application et l’analyse des structures linguistiques.</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Dans ce cadre, la didactique des langues s'est imposée comme une branche de la pédagogie dédiée à l’étude des méthodes d’enseignement des langues étrangères et secondes. Elle prend en compte les spécificités des apprenants, des contextes d’enseignement et des objectifs d'apprentissage. Selon Porcher (1995), la didactique des langues a permis de développer des approches plus flexibles et adaptées à des publics variés, qu'il s'agisse d'enfants, d'adultes ou de professionnels en formation continue.</w:t>
      </w:r>
    </w:p>
    <w:p w:rsidR="009F4568" w:rsidRPr="00DB0572" w:rsidRDefault="009F4568" w:rsidP="009F4568">
      <w:pPr>
        <w:spacing w:line="276" w:lineRule="auto"/>
        <w:jc w:val="both"/>
        <w:rPr>
          <w:rFonts w:ascii="Times New Roman" w:eastAsiaTheme="minorEastAsia" w:hAnsi="Times New Roman" w:cs="Times New Roman"/>
          <w:sz w:val="24"/>
          <w:szCs w:val="24"/>
          <w:lang w:eastAsia="fr-FR"/>
        </w:rPr>
      </w:pPr>
      <w:r w:rsidRPr="00DB0572">
        <w:rPr>
          <w:rFonts w:ascii="Times New Roman" w:eastAsiaTheme="minorEastAsia" w:hAnsi="Times New Roman" w:cs="Times New Roman"/>
          <w:sz w:val="24"/>
          <w:szCs w:val="24"/>
          <w:lang w:eastAsia="fr-FR"/>
        </w:rPr>
        <w:t xml:space="preserve">L’importance de l'enseignement des langues ne cesse de croître à mesure que les échanges internationaux s'intensifient. Dans ce contexte, les enseignants jouent un rôle essentiel non seulement en tant que transmetteurs de savoirs linguistiques, mais aussi en tant que médiateurs culturels. Ils doivent être formés à intégrer une approche interculturelle dans leur pédagogie, afin d'aider les apprenants à naviguer dans des environnements linguistiques et culturels variés. Pour Cuq &amp; Gruca (2005), cette dimension interculturelle est désormais au cœur des enjeux de la didactique des langues, car elle prépare les apprenants à une communication plus efficace dans un monde globalisé. Comme le souligne Byram (1997), « </w:t>
      </w:r>
      <w:r w:rsidRPr="00E62FDF">
        <w:rPr>
          <w:rFonts w:ascii="Times New Roman" w:eastAsiaTheme="minorEastAsia" w:hAnsi="Times New Roman" w:cs="Times New Roman"/>
          <w:i/>
          <w:iCs/>
          <w:sz w:val="24"/>
          <w:szCs w:val="24"/>
          <w:lang w:eastAsia="fr-FR"/>
        </w:rPr>
        <w:t xml:space="preserve">L'éducation interculturelle est essentielle pour développer des compétences d'adaptation et de communication dans un monde diversifié </w:t>
      </w:r>
      <w:r w:rsidRPr="00DB0572">
        <w:rPr>
          <w:rFonts w:ascii="Times New Roman" w:eastAsiaTheme="minorEastAsia" w:hAnsi="Times New Roman" w:cs="Times New Roman"/>
          <w:sz w:val="24"/>
          <w:szCs w:val="24"/>
          <w:lang w:eastAsia="fr-FR"/>
        </w:rPr>
        <w:t>», ce qui souligne l'importance d'un enseignement qui ne se limite pas à la langue elle-même, mais qui intègre également les valeurs et les pratiques culturelles qui l'accompagnent.</w:t>
      </w:r>
    </w:p>
    <w:p w:rsidR="007F2F22" w:rsidRPr="00DB0572" w:rsidRDefault="007F2F22" w:rsidP="00686429">
      <w:pPr>
        <w:jc w:val="both"/>
        <w:rPr>
          <w:rFonts w:ascii="Times New Roman" w:hAnsi="Times New Roman" w:cs="Times New Roman"/>
          <w:b/>
          <w:bCs/>
          <w:sz w:val="24"/>
          <w:szCs w:val="24"/>
        </w:rPr>
      </w:pPr>
      <w:r w:rsidRPr="00DB0572">
        <w:rPr>
          <w:rFonts w:ascii="Times New Roman" w:hAnsi="Times New Roman" w:cs="Times New Roman"/>
          <w:b/>
          <w:bCs/>
          <w:sz w:val="24"/>
          <w:szCs w:val="24"/>
        </w:rPr>
        <w:t>1. Définition et distinction des concepts</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lastRenderedPageBreak/>
        <w:t>L'enseignement des langues s’appuie sur des concepts clés tels que la langue étrangère (FLE) et la langue seconde (L2). Bien que ces termes puissent sembler similaires, ils renvoient à des réalités pédagogiques et contextuelles distinctes, comme l'expliquent Defays (2003) et Barbe &amp; Courtillon (2012).</w:t>
      </w:r>
    </w:p>
    <w:p w:rsidR="007F2F22" w:rsidRPr="00BD4184" w:rsidRDefault="007F2F22" w:rsidP="00BD4184">
      <w:pPr>
        <w:pStyle w:val="Paragraphedeliste"/>
        <w:numPr>
          <w:ilvl w:val="0"/>
          <w:numId w:val="5"/>
        </w:numPr>
        <w:ind w:left="284" w:hanging="284"/>
        <w:jc w:val="both"/>
        <w:rPr>
          <w:rFonts w:ascii="Times New Roman" w:hAnsi="Times New Roman" w:cs="Times New Roman"/>
          <w:b/>
          <w:bCs/>
          <w:sz w:val="24"/>
          <w:szCs w:val="24"/>
        </w:rPr>
      </w:pPr>
      <w:r w:rsidRPr="00BD4184">
        <w:rPr>
          <w:rFonts w:ascii="Times New Roman" w:hAnsi="Times New Roman" w:cs="Times New Roman"/>
          <w:b/>
          <w:bCs/>
          <w:sz w:val="24"/>
          <w:szCs w:val="24"/>
        </w:rPr>
        <w:t>Langue étrangère (FLE) vs. Langue seconde (L2)</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La langue étrangère (FLE) désigne une langue apprise dans un contexte où elle n'est pas utilisée de manière quotidienne par l'apprenant. Le FLE est enseigné dans un cadre académique, souvent formel, et les opportunités de pratiquer cette langue à l'extérieur de la salle de classe sont limitées. L'apprenant est rarement exposé à la langue étrangère dans son environnement immédiat. Selon Defays (2003), cette distance contextuelle et sociale constitue un obstacle supplémentaire pour l'apprenant, car l’immersion dans la langue n’est pas naturelle. Les enseignants doivent donc compenser par des méthodes interactives et communicatives qui simulent des situations réelles de communication. Par exemple, en France, l’enseignement du chinois ou de l’arabe dans les écoles repose sur un cadre institutionnel où l’apprenant n’a que peu ou pas de contact direct avec des locuteurs natifs au quotidien.</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En revanche, la langue seconde (L2) est apprise dans un contexte où elle est largement utilisée dans la société de l'apprenant. La langue seconde fait partie intégrante de la vie sociale, éducative et professionnelle. Barbe &amp; Courtillon (2012) soulignent que l'apprenant de langue seconde a de nombreuses occasions de pratiquer cette langue en dehors de l’école, ce qui favorise une acquisition plus naturelle et immersive. Dans un pays comme le Canada, par exemple, où le français et l’anglais sont des langues co-officielles, l’apprentissage du français pour un anglophone (ou inversement) relève de la dynamique de la langue seconde. Cet environnement bilingue permet une interaction plus fréquente avec la langue cible, ce qui renforce l'efficacité de l'apprentissage.</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Les approches pédagogiques varient donc en fonction du contexte. L’enseignement du FLE met l'accent sur des méthodes communicatives et grammaticales visant à combler le manque d’immersion naturelle. Par contre, l’enseignement de la L2 repose davantage sur l'intégration de l'apprenant dans un environnement social où la langue est utilisée de manière vivante et quotidienne. Defays (2003) montre que l’immersion en L2 permet d’accélérer l’acquisition linguistique, car les apprenants sont souvent confrontés à des situations réelles qui nécessitent l’utilisation immédiate de la langue. L’interaction sociale devient alors un moteur clé de l’apprentissage.</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En résumé, la langue étrangère est apprise dans un contexte éloigné de son usage quotidien, nécessitant une médiation pédagogique intensive, tandis que la langue seconde est apprise dans un environnement où la langue est naturellement présente, ce qui offre à l’apprenant une pratique plus fréquente et spontanée. Ces distinctions ont des implications majeures sur les approches didactiques adoptées par les enseignants et sur les stratégies d’apprentissage des apprenants.</w:t>
      </w:r>
    </w:p>
    <w:p w:rsidR="007F2F22" w:rsidRPr="00BD4184" w:rsidRDefault="007F2F22" w:rsidP="00BD4184">
      <w:pPr>
        <w:pStyle w:val="Paragraphedeliste"/>
        <w:numPr>
          <w:ilvl w:val="0"/>
          <w:numId w:val="5"/>
        </w:numPr>
        <w:ind w:left="284" w:hanging="284"/>
        <w:jc w:val="both"/>
        <w:rPr>
          <w:rFonts w:ascii="Times New Roman" w:hAnsi="Times New Roman" w:cs="Times New Roman"/>
          <w:b/>
          <w:bCs/>
          <w:sz w:val="24"/>
          <w:szCs w:val="24"/>
        </w:rPr>
      </w:pPr>
      <w:r w:rsidRPr="00BD4184">
        <w:rPr>
          <w:rFonts w:ascii="Times New Roman" w:hAnsi="Times New Roman" w:cs="Times New Roman"/>
          <w:b/>
          <w:bCs/>
          <w:sz w:val="24"/>
          <w:szCs w:val="24"/>
        </w:rPr>
        <w:t>Influence de la langue maternelle sur l'apprentissage</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 xml:space="preserve">La langue maternelle (L1) joue un rôle crucial dans l’acquisition d’une langue étrangère ou seconde. Comme le souligne Galisson (1980), la langue maternelle façonne les schémas cognitifs et linguistiques des apprenants, influençant ainsi leur manière d'appréhender de </w:t>
      </w:r>
      <w:r w:rsidRPr="00DB0572">
        <w:rPr>
          <w:rFonts w:ascii="Times New Roman" w:hAnsi="Times New Roman" w:cs="Times New Roman"/>
          <w:sz w:val="24"/>
          <w:szCs w:val="24"/>
        </w:rPr>
        <w:lastRenderedPageBreak/>
        <w:t>nouvelles langues. L'apprenant a tendance à transférer les structures grammaticales, les règles phonologiques et les habitudes discursives de sa langue maternelle vers la langue cible, ce qui peut faciliter ou freiner l'apprentissage en fonction des similitudes ou des divergences entre les deux langues.</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L’influence de la langue maternelle est particulièrement visible dans l'apprentissage du FLE et du L2. Dans un contexte de langue seconde, l'apprenant peut plus facilement identifier des points communs entre sa langue maternelle et la langue cible, ce qui facilite l'intégration de certaines structures linguistiques. Par exemple, un locuteur espagnol apprenant le français en tant que langue seconde pourra s’appuyer sur des similitudes lexicales et syntaxiques entre les deux langues pour accélérer son apprentissage. En revanche, dans un contexte de FLE, l'absence de contact direct avec la langue cible rend plus difficile la correction des interférences linguistiques causées par la langue maternelle.</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Galisson (1980) note également que la langue maternelle influence la motivation de l’apprenant. Si l'apprenant perçoit une grande distance culturelle et linguistique entre sa langue maternelle et la langue cible, cela peut nuire à sa motivation et à son engagement dans l'apprentissage. Au contraire, une proximité perçue entre les deux langues peut renforcer la confiance de l’apprenant et favoriser un apprentissage plus rapide et plus fluide. De plus, l’environnement linguistique joue un rôle important dans l’intégration de ces influences. En L2, les apprenants sont souvent plus enclins à corriger les erreurs liées à leur L1, car ils sont exposés à des modèles linguistiques authentiques et répétés dans leur environnement quotidien.</w:t>
      </w:r>
    </w:p>
    <w:p w:rsidR="007F2F22" w:rsidRPr="00DB0572" w:rsidRDefault="007F2F22" w:rsidP="00686429">
      <w:pPr>
        <w:jc w:val="both"/>
        <w:rPr>
          <w:rFonts w:ascii="Times New Roman" w:hAnsi="Times New Roman" w:cs="Times New Roman"/>
          <w:sz w:val="24"/>
          <w:szCs w:val="24"/>
        </w:rPr>
      </w:pPr>
      <w:r w:rsidRPr="00DB0572">
        <w:rPr>
          <w:rFonts w:ascii="Times New Roman" w:hAnsi="Times New Roman" w:cs="Times New Roman"/>
          <w:sz w:val="24"/>
          <w:szCs w:val="24"/>
        </w:rPr>
        <w:t>Du point de vue de la pédagogie, cette influence de la langue maternelle impose des ajustements dans les approches d’enseignement. Les enseignants doivent prendre en compte les spécificités de la L1 des apprenants pour anticiper les difficultés et les erreurs liées au transfert linguistique. Comme le souligne Galisson (1980), un enseignement efficace du FLE et de la L2 repose sur la capacité de l'enseignant à identifier les interférences linguistiques potentielles et à adapter ses méthodes pour aider les apprenants à surmonter ces obstacles.</w:t>
      </w:r>
    </w:p>
    <w:p w:rsidR="004C3BC5" w:rsidRPr="00DB0572" w:rsidRDefault="00394647" w:rsidP="00AB7DA4">
      <w:pPr>
        <w:jc w:val="both"/>
        <w:rPr>
          <w:rFonts w:ascii="Times New Roman" w:hAnsi="Times New Roman" w:cs="Times New Roman"/>
          <w:sz w:val="24"/>
          <w:szCs w:val="24"/>
        </w:rPr>
      </w:pPr>
      <w:r w:rsidRPr="00DB0572">
        <w:rPr>
          <w:rFonts w:ascii="Times New Roman" w:hAnsi="Times New Roman" w:cs="Times New Roman"/>
          <w:sz w:val="24"/>
          <w:szCs w:val="24"/>
        </w:rPr>
        <w:t>La</w:t>
      </w:r>
      <w:r w:rsidR="007F2F22" w:rsidRPr="00DB0572">
        <w:rPr>
          <w:rFonts w:ascii="Times New Roman" w:hAnsi="Times New Roman" w:cs="Times New Roman"/>
          <w:sz w:val="24"/>
          <w:szCs w:val="24"/>
        </w:rPr>
        <w:t xml:space="preserve"> distinction entre langue étrangère et langue seconde repose sur des différences contextuelles et pédagogiques majeures, influencées par le degré d'immersion dans la langue cible. Par ailleurs, la langue maternelle, en tant que première structure linguistique de l’apprenant, exerce une influence significative sur l’acquisition de nouvelles langues, tant dans les approches didactiques que dans la dynamique de l’apprentissage.</w:t>
      </w:r>
    </w:p>
    <w:p w:rsidR="00FE2D39" w:rsidRPr="00DB0572" w:rsidRDefault="00FE2D39" w:rsidP="00AB7DA4">
      <w:pPr>
        <w:jc w:val="both"/>
        <w:rPr>
          <w:rFonts w:ascii="Times New Roman" w:hAnsi="Times New Roman" w:cs="Times New Roman"/>
          <w:b/>
          <w:bCs/>
          <w:sz w:val="24"/>
          <w:szCs w:val="24"/>
        </w:rPr>
      </w:pPr>
      <w:r w:rsidRPr="00DB0572">
        <w:rPr>
          <w:rFonts w:ascii="Times New Roman" w:hAnsi="Times New Roman" w:cs="Times New Roman"/>
          <w:b/>
          <w:bCs/>
          <w:sz w:val="24"/>
          <w:szCs w:val="24"/>
        </w:rPr>
        <w:t>2. Perspectives historiques de la didactique des langues</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L’histoire de la didactique des langues témoigne d'une évolution constante des paradigmes pédagogiques, marquée par des changements théoriques et méthodologiques qui reflètent les besoins sociaux, culturels et éducatifs des différentes époques. Deux grandes étapes se démarquent dans cette évolution : le passage du structuralisme au fonctionnalisme, comme l’explique Galisson (1980), et l’émergence du français langue étrangère (FLE) comme discipline académique, analysée par Porcher (1995).</w:t>
      </w:r>
    </w:p>
    <w:p w:rsidR="00FE2D39" w:rsidRPr="00FF3FB0" w:rsidRDefault="00FE2D39" w:rsidP="00FF3FB0">
      <w:pPr>
        <w:pStyle w:val="Paragraphedeliste"/>
        <w:numPr>
          <w:ilvl w:val="0"/>
          <w:numId w:val="5"/>
        </w:numPr>
        <w:ind w:left="284" w:hanging="284"/>
        <w:jc w:val="both"/>
        <w:rPr>
          <w:rFonts w:ascii="Times New Roman" w:hAnsi="Times New Roman" w:cs="Times New Roman"/>
          <w:b/>
          <w:bCs/>
          <w:sz w:val="24"/>
          <w:szCs w:val="24"/>
        </w:rPr>
      </w:pPr>
      <w:r w:rsidRPr="00FF3FB0">
        <w:rPr>
          <w:rFonts w:ascii="Times New Roman" w:hAnsi="Times New Roman" w:cs="Times New Roman"/>
          <w:b/>
          <w:bCs/>
          <w:sz w:val="24"/>
          <w:szCs w:val="24"/>
        </w:rPr>
        <w:t>Du structuralisme au fonctionnalisme : Une rétrospective des paradigmes dans la didactique des langues</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 xml:space="preserve">Le structuralisme a dominé la didactique des langues dans la première moitié du XXe siècle. Inspiré par la linguistique de Ferdinand de Saussure, ce courant considère la langue comme un </w:t>
      </w:r>
      <w:r w:rsidRPr="00DB0572">
        <w:rPr>
          <w:rFonts w:ascii="Times New Roman" w:hAnsi="Times New Roman" w:cs="Times New Roman"/>
          <w:sz w:val="24"/>
          <w:szCs w:val="24"/>
        </w:rPr>
        <w:lastRenderedPageBreak/>
        <w:t>système de signes dont les éléments sont organisés selon des relations internes et rigides. L’enseignement des langues sous l’influence du structuralisme se concentrait donc sur l’apprentissage des structures grammaticales et syntaxiques. La langue était envisagée comme un ensemble de règles et d’éléments à mémoriser, et l’approche pédagogique visait à inculquer ces éléments de manière séquencée et progressive.</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Dans le cadre de cette méthode, des exercices répétitifs et des pratiques de drills étaient privilégiés, permettant aux apprenants de mémoriser des phrases types et des structures grammaticales. Comme le souligne Galisson (1980), l’accent était principalement mis sur la forme linguistique plutôt que sur l’utilisation fonctionnelle de la langue. Par exemple, les apprenants étaient souvent amenés à répéter des structures telles que : « Où est la bibliothèque ? », sans nécessairement comprendre la portée pratique de cette question dans un contexte de communication authentique. Les pratiques pédagogiques, fortement influencées par cette approche, ont montré leurs limites lorsqu’il s’agissait de préparer les apprenants à des situations réelles de communication.</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Cependant, à partir des années 1960 et 1970, le fonctionnalisme a commencé à s'imposer comme une approche alternative. Cette nouvelle orientation s'inspire des travaux de chercheurs tels que Michael Halliday et se concentre davantage sur l'utilisation de la langue dans des contextes réels de communication. Contrairement au structuralisme, qui insistait sur la forme, le fonctionnalisme met l’accent sur la fonction communicative de la langue. Selon Galisson (1980), cette transition paradigmatique a permis de réorienter la didactique vers des objectifs plus pragmatiques, en valorisant la compétence de l’apprenant à utiliser la langue pour accomplir des actions spécifiques, telles que demander des informations, exprimer des opinions, ou négocier des accords.</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L’approche fonctionnelle introduit également l’idée que la langue doit être enseignée en tant que moyen de communication vivante, intégrée dans son contexte social et culturel. Cela a conduit à l’émergence de méthodes communicatives dans les années 1970 et 1980, telles que l'approche communicative et l'approche actionnelle, où l'accent est mis sur l'interaction et la production orale. En ce sens, la langue est envisagée non seulement comme un objet d'étude, mais comme un outil social destiné à remplir des fonctions spécifiques dans des situations variées. Cette évolution méthodologique a considérablement influencé les pratiques pédagogiques actuelles, qui cherchent à favoriser une approche plus naturelle et contextuelle de l’apprentissage des langues.</w:t>
      </w:r>
    </w:p>
    <w:p w:rsidR="00FE2D39" w:rsidRPr="00FF3FB0" w:rsidRDefault="00FE2D39" w:rsidP="00FF3FB0">
      <w:pPr>
        <w:pStyle w:val="Paragraphedeliste"/>
        <w:numPr>
          <w:ilvl w:val="0"/>
          <w:numId w:val="5"/>
        </w:numPr>
        <w:ind w:left="284" w:hanging="284"/>
        <w:jc w:val="both"/>
        <w:rPr>
          <w:rFonts w:ascii="Times New Roman" w:hAnsi="Times New Roman" w:cs="Times New Roman"/>
          <w:b/>
          <w:bCs/>
          <w:sz w:val="24"/>
          <w:szCs w:val="24"/>
        </w:rPr>
      </w:pPr>
      <w:r w:rsidRPr="00FF3FB0">
        <w:rPr>
          <w:rFonts w:ascii="Times New Roman" w:hAnsi="Times New Roman" w:cs="Times New Roman"/>
          <w:b/>
          <w:bCs/>
          <w:sz w:val="24"/>
          <w:szCs w:val="24"/>
        </w:rPr>
        <w:t>L’émergence du FLE comme discipline académique</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La constitution du Français Langue Étrangère (FLE) en tant que discipline académique s’inscrit dans un processus de formalisation et de professionnalisation des pratiques d’enseignement du français à des non-francophones. Ce processus, analysé par Porcher (1995), témoigne d’une longue évolution au cours de laquelle le FLE a acquis une légitimité scientifique et pédagogique.</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 xml:space="preserve">Selon Porcher (1995), l’émergence du FLE comme champ disciplinaire autonome découle de plusieurs facteurs historiques et sociaux. Dans les années 1950 et 1960, avec la décolonisation et l'expansion des relations internationales, un grand nombre de personnes non-francophones ont manifesté un besoin croissant d’apprendre le français. Cela a entraîné une augmentation des </w:t>
      </w:r>
      <w:r w:rsidRPr="00DB0572">
        <w:rPr>
          <w:rFonts w:ascii="Times New Roman" w:hAnsi="Times New Roman" w:cs="Times New Roman"/>
          <w:sz w:val="24"/>
          <w:szCs w:val="24"/>
        </w:rPr>
        <w:lastRenderedPageBreak/>
        <w:t>demandes pour des cours de français dans les pays étrangers, et, en parallèle, une réflexion approfondie sur les méthodes les plus efficaces pour enseigner cette langue à des publics variés.</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La formalisation du FLE en tant que discipline s’est également appuyée sur des réflexions théoriques issues de la linguistique appliquée, de la pédagogie, et des sciences sociales. Avant cette période, l’enseignement du français aux non-natifs était souvent confié à des enseignants sans formation spécifique, et les approches étaient principalement empiriques. Toutefois, à mesure que les méthodes se raffinaient et que les recherches sur l’apprentissage des langues progressaient, le FLE a commencé à se structurer en tant que champ de recherche à part entière, avec ses propres théories, outils méthodologiques et objectifs pédagogiques.</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Porcher (1995) souligne que l’un des tournants dans l’histoire du FLE a été l’introduction de la méthodologie communicative, qui repose sur l'idée que l'apprentissage d'une langue doit avant tout permettre à l’apprenant de communiquer dans des situations réelles. Cette approche a non seulement enrichi la pratique enseignante, mais elle a aussi permis au FLE de s’aligner avec les évolutions internationales dans l’enseignement des langues étrangères, notamment avec l’essor de l’approche communicative à l'échelle mondiale.</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De plus, l’institutionnalisation du FLE comme discipline académique a été accompagnée de la création de diplômes universitaires spécialisés, la formation d’enseignants dédiés, et la publication de manuels et d'ouvrages théoriques visant à professionnaliser l’enseignement. Des universités à travers le monde ont commencé à offrir des programmes en FLE, et la recherche sur les méthodes d'enseignement du français aux non-natifs s'est intensifiée, aboutissant à la création de départements de linguistique appliquée et de didactique du FLE.</w:t>
      </w:r>
    </w:p>
    <w:p w:rsidR="00FE2D39" w:rsidRPr="00DB0572" w:rsidRDefault="00FE2D39" w:rsidP="00AB7DA4">
      <w:pPr>
        <w:jc w:val="both"/>
        <w:rPr>
          <w:rFonts w:ascii="Times New Roman" w:hAnsi="Times New Roman" w:cs="Times New Roman"/>
          <w:sz w:val="24"/>
          <w:szCs w:val="24"/>
        </w:rPr>
      </w:pPr>
      <w:r w:rsidRPr="00DB0572">
        <w:rPr>
          <w:rFonts w:ascii="Times New Roman" w:hAnsi="Times New Roman" w:cs="Times New Roman"/>
          <w:sz w:val="24"/>
          <w:szCs w:val="24"/>
        </w:rPr>
        <w:t>Le rôle de la coopération internationale et des institutions culturelles, telles que les Alliances Françaises et les Instituts Français, a également été fondamental dans la promotion et la diffusion du FLE. Ces institutions, présentes dans de nombreux pays, ont joué un rôle déterminant dans la vulgarisation de méthodes d’enseignement du FLE à l’échelle mondiale.</w:t>
      </w:r>
    </w:p>
    <w:p w:rsidR="00394647" w:rsidRPr="00DB0572" w:rsidRDefault="00FE2D39" w:rsidP="0064707F">
      <w:pPr>
        <w:jc w:val="both"/>
        <w:rPr>
          <w:rFonts w:ascii="Times New Roman" w:hAnsi="Times New Roman" w:cs="Times New Roman"/>
          <w:sz w:val="24"/>
          <w:szCs w:val="24"/>
        </w:rPr>
      </w:pPr>
      <w:r w:rsidRPr="00DB0572">
        <w:rPr>
          <w:rFonts w:ascii="Times New Roman" w:hAnsi="Times New Roman" w:cs="Times New Roman"/>
          <w:sz w:val="24"/>
          <w:szCs w:val="24"/>
        </w:rPr>
        <w:t>En conclusion, l’émergence du FLE comme discipline académique a marqué un jalon important dans l'histoire de la didactique des langues, témoignant d’un processus de spécialisation et de professionnalisation qui continue d’évoluer aujourd'hui.</w:t>
      </w:r>
      <w:bookmarkStart w:id="0" w:name="_GoBack"/>
      <w:bookmarkEnd w:id="0"/>
    </w:p>
    <w:p w:rsidR="009C0142" w:rsidRPr="00DB0572" w:rsidRDefault="009C0142" w:rsidP="009D3A39">
      <w:pPr>
        <w:tabs>
          <w:tab w:val="left" w:pos="5472"/>
        </w:tabs>
        <w:jc w:val="both"/>
        <w:rPr>
          <w:rFonts w:ascii="Times New Roman" w:hAnsi="Times New Roman" w:cs="Times New Roman"/>
          <w:b/>
          <w:bCs/>
          <w:sz w:val="24"/>
          <w:szCs w:val="24"/>
        </w:rPr>
      </w:pPr>
      <w:r w:rsidRPr="00DB0572">
        <w:rPr>
          <w:rFonts w:ascii="Times New Roman" w:hAnsi="Times New Roman" w:cs="Times New Roman"/>
          <w:b/>
          <w:bCs/>
          <w:sz w:val="24"/>
          <w:szCs w:val="24"/>
        </w:rPr>
        <w:t>3. Approches pédagogiques et taxonomie</w:t>
      </w:r>
      <w:r w:rsidRPr="00DB0572">
        <w:rPr>
          <w:rFonts w:ascii="Times New Roman" w:hAnsi="Times New Roman" w:cs="Times New Roman"/>
          <w:b/>
          <w:bCs/>
          <w:sz w:val="24"/>
          <w:szCs w:val="24"/>
        </w:rPr>
        <w:tab/>
      </w:r>
    </w:p>
    <w:p w:rsidR="009C0142" w:rsidRPr="00DB0572" w:rsidRDefault="009C0142" w:rsidP="009D3A39">
      <w:pPr>
        <w:jc w:val="both"/>
        <w:rPr>
          <w:rFonts w:ascii="Times New Roman" w:hAnsi="Times New Roman" w:cs="Times New Roman"/>
          <w:sz w:val="24"/>
          <w:szCs w:val="24"/>
        </w:rPr>
      </w:pPr>
      <w:r w:rsidRPr="00DB0572">
        <w:rPr>
          <w:rFonts w:ascii="Times New Roman" w:hAnsi="Times New Roman" w:cs="Times New Roman"/>
          <w:sz w:val="24"/>
          <w:szCs w:val="24"/>
        </w:rPr>
        <w:t>L’enseignement des langues, qu’il s’agisse du français langue étrangère (FLE) ou de la langue seconde (L2), repose sur des fondements théoriques solides qui ont évolué au fil des décennies. Parmi ces fondements, la taxonomie des objectifs pédagogiques de Bloom (1982) et les débats méthodologiques autour des approches didactiques, comme l’illustre Besse et Galisson (1980), occupent une place essentielle. Ces concepts permettent non seulement de structurer l’apprentissage des langues, mais aussi d'orienter les pratiques pédagogiques vers des objectifs plus spécifiques, qu’il s’agisse de la forme linguistique ou du sens dans l’usage de la langue.</w:t>
      </w:r>
    </w:p>
    <w:p w:rsidR="009C0142" w:rsidRPr="009928E3" w:rsidRDefault="009C0142" w:rsidP="009928E3">
      <w:pPr>
        <w:pStyle w:val="Paragraphedeliste"/>
        <w:numPr>
          <w:ilvl w:val="0"/>
          <w:numId w:val="5"/>
        </w:numPr>
        <w:ind w:left="284" w:hanging="284"/>
        <w:jc w:val="both"/>
        <w:rPr>
          <w:rFonts w:ascii="Times New Roman" w:hAnsi="Times New Roman" w:cs="Times New Roman"/>
          <w:b/>
          <w:bCs/>
          <w:sz w:val="24"/>
          <w:szCs w:val="24"/>
        </w:rPr>
      </w:pPr>
      <w:r w:rsidRPr="009928E3">
        <w:rPr>
          <w:rFonts w:ascii="Times New Roman" w:hAnsi="Times New Roman" w:cs="Times New Roman"/>
          <w:b/>
          <w:bCs/>
          <w:sz w:val="24"/>
          <w:szCs w:val="24"/>
        </w:rPr>
        <w:t>Taxonomie des objectifs pédagogiques de Bloom : Application en FLE et L2</w:t>
      </w:r>
    </w:p>
    <w:p w:rsidR="009C0142" w:rsidRPr="00DB0572" w:rsidRDefault="009C0142" w:rsidP="009D3A39">
      <w:pPr>
        <w:jc w:val="both"/>
        <w:rPr>
          <w:rFonts w:ascii="Times New Roman" w:hAnsi="Times New Roman" w:cs="Times New Roman"/>
          <w:sz w:val="24"/>
          <w:szCs w:val="24"/>
        </w:rPr>
      </w:pPr>
      <w:r w:rsidRPr="00DB0572">
        <w:rPr>
          <w:rFonts w:ascii="Times New Roman" w:hAnsi="Times New Roman" w:cs="Times New Roman"/>
          <w:sz w:val="24"/>
          <w:szCs w:val="24"/>
        </w:rPr>
        <w:t xml:space="preserve">La taxonomie de Bloom est une classification des objectifs pédagogiques qui vise à organiser les compétences et savoirs que les apprenants doivent acquérir. Initialement développée par Benjamin Bloom en 1956, puis révisée en 1982, cette taxonomie divise les objectifs en trois domaines principaux : cognitif, affectif et psychomoteur. Dans le cadre de l'enseignement des </w:t>
      </w:r>
      <w:r w:rsidRPr="00DB0572">
        <w:rPr>
          <w:rFonts w:ascii="Times New Roman" w:hAnsi="Times New Roman" w:cs="Times New Roman"/>
          <w:sz w:val="24"/>
          <w:szCs w:val="24"/>
        </w:rPr>
        <w:lastRenderedPageBreak/>
        <w:t>langues, en particulier du FLE et de la L2, cette taxonomie s’avère extrêmement utile pour guider l’élaboration des objectifs d'apprentissage et des évaluations.</w:t>
      </w:r>
    </w:p>
    <w:p w:rsidR="009C0142" w:rsidRPr="00DB0572" w:rsidRDefault="009C0142" w:rsidP="009D3A39">
      <w:pPr>
        <w:jc w:val="both"/>
        <w:rPr>
          <w:rFonts w:ascii="Times New Roman" w:hAnsi="Times New Roman" w:cs="Times New Roman"/>
          <w:sz w:val="24"/>
          <w:szCs w:val="24"/>
        </w:rPr>
      </w:pPr>
      <w:r w:rsidRPr="00DB0572">
        <w:rPr>
          <w:rFonts w:ascii="Times New Roman" w:hAnsi="Times New Roman" w:cs="Times New Roman"/>
          <w:sz w:val="24"/>
          <w:szCs w:val="24"/>
        </w:rPr>
        <w:t>Le domaine cognitif, qui est le plus pertinent pour la didactique des langues, est subdivisé en six niveaux, allant du plus simple au plus complexe : connaissance, compréhension, application, analyse, synthèse et évaluation. Ces niveaux correspondent à différents degrés d’acquisition de compétences linguistiques, permettant aux enseignants de formuler des objectifs d’apprentissage précis pour chaque étape du processus éducatif.</w:t>
      </w:r>
    </w:p>
    <w:p w:rsidR="009C0142" w:rsidRPr="00A45CB7" w:rsidRDefault="009C0142" w:rsidP="00A45CB7">
      <w:pPr>
        <w:pStyle w:val="Paragraphedeliste"/>
        <w:numPr>
          <w:ilvl w:val="0"/>
          <w:numId w:val="6"/>
        </w:numPr>
        <w:jc w:val="both"/>
        <w:rPr>
          <w:rFonts w:ascii="Times New Roman" w:hAnsi="Times New Roman" w:cs="Times New Roman"/>
          <w:sz w:val="24"/>
          <w:szCs w:val="24"/>
        </w:rPr>
      </w:pPr>
      <w:r w:rsidRPr="00A45CB7">
        <w:rPr>
          <w:rFonts w:ascii="Times New Roman" w:hAnsi="Times New Roman" w:cs="Times New Roman"/>
          <w:b/>
          <w:bCs/>
          <w:sz w:val="24"/>
          <w:szCs w:val="24"/>
        </w:rPr>
        <w:t>Connaissance</w:t>
      </w:r>
      <w:r w:rsidRPr="00A45CB7">
        <w:rPr>
          <w:rFonts w:ascii="Times New Roman" w:hAnsi="Times New Roman" w:cs="Times New Roman"/>
          <w:sz w:val="24"/>
          <w:szCs w:val="24"/>
        </w:rPr>
        <w:t xml:space="preserve"> : Ce premier niveau concerne la capacité des apprenants à retenir des informations. Dans le contexte du FLE ou de la L2, cela pourrait inclure la mémorisation de vocabulaire, de règles grammaticales, ou encore de structures syntaxiques de base. Par exemple, un objectif pédagogique à ce niveau pourrait être : « Les apprenants seront capables de lister les principaux verbes irréguliers en français ».</w:t>
      </w:r>
    </w:p>
    <w:p w:rsidR="009C0142" w:rsidRPr="00A45CB7" w:rsidRDefault="009C0142" w:rsidP="00A45CB7">
      <w:pPr>
        <w:pStyle w:val="Paragraphedeliste"/>
        <w:numPr>
          <w:ilvl w:val="0"/>
          <w:numId w:val="6"/>
        </w:numPr>
        <w:jc w:val="both"/>
        <w:rPr>
          <w:rFonts w:ascii="Times New Roman" w:hAnsi="Times New Roman" w:cs="Times New Roman"/>
          <w:sz w:val="24"/>
          <w:szCs w:val="24"/>
        </w:rPr>
      </w:pPr>
      <w:r w:rsidRPr="00A45CB7">
        <w:rPr>
          <w:rFonts w:ascii="Times New Roman" w:hAnsi="Times New Roman" w:cs="Times New Roman"/>
          <w:b/>
          <w:bCs/>
          <w:sz w:val="24"/>
          <w:szCs w:val="24"/>
        </w:rPr>
        <w:t>Compréhension :</w:t>
      </w:r>
      <w:r w:rsidRPr="00A45CB7">
        <w:rPr>
          <w:rFonts w:ascii="Times New Roman" w:hAnsi="Times New Roman" w:cs="Times New Roman"/>
          <w:sz w:val="24"/>
          <w:szCs w:val="24"/>
        </w:rPr>
        <w:t xml:space="preserve"> Le deuxième niveau de la taxonomie se réfère à la capacité des apprenants à interpréter et expliquer des informations. Pour un apprenant de FLE ou de L2, cela peut inclure la compréhension de textes simples, la capacité à répondre à des questions sur un document écrit ou oral, ou encore la capacité à résumer des informations. Un objectif pertinent pourrait être : « Les apprenants seront capables d’expliquer la différence entre le passé composé et l’imparfait dans une conversation quotidienne ».</w:t>
      </w:r>
    </w:p>
    <w:p w:rsidR="009C0142" w:rsidRPr="00A45CB7" w:rsidRDefault="009C0142" w:rsidP="00A45CB7">
      <w:pPr>
        <w:pStyle w:val="Paragraphedeliste"/>
        <w:numPr>
          <w:ilvl w:val="0"/>
          <w:numId w:val="6"/>
        </w:numPr>
        <w:jc w:val="both"/>
        <w:rPr>
          <w:rFonts w:ascii="Times New Roman" w:hAnsi="Times New Roman" w:cs="Times New Roman"/>
          <w:sz w:val="24"/>
          <w:szCs w:val="24"/>
        </w:rPr>
      </w:pPr>
      <w:r w:rsidRPr="00A45CB7">
        <w:rPr>
          <w:rFonts w:ascii="Times New Roman" w:hAnsi="Times New Roman" w:cs="Times New Roman"/>
          <w:b/>
          <w:bCs/>
          <w:sz w:val="24"/>
          <w:szCs w:val="24"/>
        </w:rPr>
        <w:t>Application :</w:t>
      </w:r>
      <w:r w:rsidRPr="00A45CB7">
        <w:rPr>
          <w:rFonts w:ascii="Times New Roman" w:hAnsi="Times New Roman" w:cs="Times New Roman"/>
          <w:sz w:val="24"/>
          <w:szCs w:val="24"/>
        </w:rPr>
        <w:t xml:space="preserve"> À ce stade, les apprenants sont en mesure de transférer ce qu’ils ont appris dans des situations nouvelles. Cela pourrait inclure l’application des règles grammaticales pour rédiger une lettre formelle, ou l’utilisation du vocabulaire appris pour effectuer des achats dans un magasin. Un exemple d’objectif : « Les apprenants seront capables d’écrire un courriel professionnel en respectant les normes grammaticales appropriées ».</w:t>
      </w:r>
    </w:p>
    <w:p w:rsidR="009C0142" w:rsidRPr="00A45CB7" w:rsidRDefault="009C0142" w:rsidP="00A45CB7">
      <w:pPr>
        <w:pStyle w:val="Paragraphedeliste"/>
        <w:numPr>
          <w:ilvl w:val="0"/>
          <w:numId w:val="6"/>
        </w:numPr>
        <w:jc w:val="both"/>
        <w:rPr>
          <w:rFonts w:ascii="Times New Roman" w:hAnsi="Times New Roman" w:cs="Times New Roman"/>
          <w:sz w:val="24"/>
          <w:szCs w:val="24"/>
        </w:rPr>
      </w:pPr>
      <w:r w:rsidRPr="00A45CB7">
        <w:rPr>
          <w:rFonts w:ascii="Times New Roman" w:hAnsi="Times New Roman" w:cs="Times New Roman"/>
          <w:b/>
          <w:bCs/>
          <w:sz w:val="24"/>
          <w:szCs w:val="24"/>
        </w:rPr>
        <w:t>Analyse</w:t>
      </w:r>
      <w:r w:rsidRPr="00A45CB7">
        <w:rPr>
          <w:rFonts w:ascii="Times New Roman" w:hAnsi="Times New Roman" w:cs="Times New Roman"/>
          <w:sz w:val="24"/>
          <w:szCs w:val="24"/>
        </w:rPr>
        <w:t xml:space="preserve"> : Ce niveau implique la capacité des apprenants à décomposer des informations complexes et à les analyser de manière critique. Dans le cadre du FLE ou de la L2, les apprenants pourraient être amenés à analyser des textes littéraires, ou à examiner les éléments linguistiques dans un discours. Un objectif à ce niveau serait : « Les apprenants seront capables d’identifier les stratégies argumentatives dans un texte de presse en français ».</w:t>
      </w:r>
    </w:p>
    <w:p w:rsidR="009C0142" w:rsidRPr="00A45CB7" w:rsidRDefault="009C0142" w:rsidP="00A45CB7">
      <w:pPr>
        <w:pStyle w:val="Paragraphedeliste"/>
        <w:numPr>
          <w:ilvl w:val="0"/>
          <w:numId w:val="6"/>
        </w:numPr>
        <w:jc w:val="both"/>
        <w:rPr>
          <w:rFonts w:ascii="Times New Roman" w:hAnsi="Times New Roman" w:cs="Times New Roman"/>
          <w:sz w:val="24"/>
          <w:szCs w:val="24"/>
        </w:rPr>
      </w:pPr>
      <w:r w:rsidRPr="00A45CB7">
        <w:rPr>
          <w:rFonts w:ascii="Times New Roman" w:hAnsi="Times New Roman" w:cs="Times New Roman"/>
          <w:b/>
          <w:bCs/>
          <w:i/>
          <w:iCs/>
          <w:sz w:val="24"/>
          <w:szCs w:val="24"/>
        </w:rPr>
        <w:t>Synthèse</w:t>
      </w:r>
      <w:r w:rsidRPr="00A45CB7">
        <w:rPr>
          <w:rFonts w:ascii="Times New Roman" w:hAnsi="Times New Roman" w:cs="Times New Roman"/>
          <w:sz w:val="24"/>
          <w:szCs w:val="24"/>
        </w:rPr>
        <w:t xml:space="preserve"> : À ce stade, les apprenants sont capables de combiner différentes informations pour produire quelque chose de nouveau. En FLE ou en L2, cela pourrait inclure la rédaction d’un essai ou la préparation d’une présentation orale en français. Un exemple d’objectif pourrait être : « Les apprenants seront capables de rédiger un texte argumentatif en respectant les règles de cohérence et de cohésion textuelle ».</w:t>
      </w:r>
    </w:p>
    <w:p w:rsidR="009C0142" w:rsidRPr="00A45CB7" w:rsidRDefault="009C0142" w:rsidP="00A45CB7">
      <w:pPr>
        <w:pStyle w:val="Paragraphedeliste"/>
        <w:numPr>
          <w:ilvl w:val="0"/>
          <w:numId w:val="6"/>
        </w:numPr>
        <w:jc w:val="both"/>
        <w:rPr>
          <w:rFonts w:ascii="Times New Roman" w:hAnsi="Times New Roman" w:cs="Times New Roman"/>
          <w:sz w:val="24"/>
          <w:szCs w:val="24"/>
        </w:rPr>
      </w:pPr>
      <w:r w:rsidRPr="00A45CB7">
        <w:rPr>
          <w:rFonts w:ascii="Times New Roman" w:hAnsi="Times New Roman" w:cs="Times New Roman"/>
          <w:b/>
          <w:bCs/>
          <w:i/>
          <w:iCs/>
          <w:sz w:val="24"/>
          <w:szCs w:val="24"/>
        </w:rPr>
        <w:t>Évaluation :</w:t>
      </w:r>
      <w:r w:rsidRPr="00A45CB7">
        <w:rPr>
          <w:rFonts w:ascii="Times New Roman" w:hAnsi="Times New Roman" w:cs="Times New Roman"/>
          <w:sz w:val="24"/>
          <w:szCs w:val="24"/>
        </w:rPr>
        <w:t xml:space="preserve"> Enfin, le niveau d’évaluation se réfère à la capacité des apprenants à juger et à évaluer les informations sur la base de critères définis. Dans le cadre du FLE ou de la L2, cela pourrait inclure la critique littéraire, l’évaluation de sources d’information, ou la correction d’erreurs linguistiques dans des textes. Un objectif serait : « Les apprenants seront capables d’évaluer la pertinence d’un argument dans un débat en français ».</w:t>
      </w:r>
    </w:p>
    <w:p w:rsidR="009C0142" w:rsidRPr="00A45CB7" w:rsidRDefault="009C0142" w:rsidP="00ED1F8E">
      <w:pPr>
        <w:pStyle w:val="Paragraphedeliste"/>
        <w:numPr>
          <w:ilvl w:val="0"/>
          <w:numId w:val="7"/>
        </w:numPr>
        <w:ind w:left="851" w:hanging="284"/>
        <w:jc w:val="both"/>
        <w:rPr>
          <w:rFonts w:ascii="Times New Roman" w:hAnsi="Times New Roman" w:cs="Times New Roman"/>
          <w:sz w:val="24"/>
          <w:szCs w:val="24"/>
        </w:rPr>
      </w:pPr>
      <w:r w:rsidRPr="00A45CB7">
        <w:rPr>
          <w:rFonts w:ascii="Times New Roman" w:hAnsi="Times New Roman" w:cs="Times New Roman"/>
          <w:sz w:val="24"/>
          <w:szCs w:val="24"/>
        </w:rPr>
        <w:lastRenderedPageBreak/>
        <w:t>L’application de la taxonomie de Bloom dans l’enseignement du FLE et de la L2 permet aux enseignants de structurer les objectifs pédagogiques selon une progression logique, partant de l'acquisition de connaissances simples vers des compétences plus complexes telles que la créativité linguistique et la pensée critique.</w:t>
      </w:r>
    </w:p>
    <w:p w:rsidR="009C0142" w:rsidRPr="004A7EBF" w:rsidRDefault="009C0142" w:rsidP="0056548B">
      <w:pPr>
        <w:pStyle w:val="Paragraphedeliste"/>
        <w:numPr>
          <w:ilvl w:val="0"/>
          <w:numId w:val="13"/>
        </w:numPr>
        <w:ind w:left="142" w:hanging="142"/>
        <w:jc w:val="both"/>
        <w:rPr>
          <w:rFonts w:ascii="Times New Roman" w:hAnsi="Times New Roman" w:cs="Times New Roman"/>
          <w:sz w:val="24"/>
          <w:szCs w:val="24"/>
        </w:rPr>
      </w:pPr>
      <w:r w:rsidRPr="000D2A4C">
        <w:rPr>
          <w:rFonts w:ascii="Times New Roman" w:hAnsi="Times New Roman" w:cs="Times New Roman"/>
          <w:b/>
          <w:bCs/>
          <w:sz w:val="24"/>
          <w:szCs w:val="24"/>
        </w:rPr>
        <w:t>Polémiques en didactique :</w:t>
      </w:r>
      <w:r w:rsidRPr="000D2A4C">
        <w:rPr>
          <w:rFonts w:ascii="Times New Roman" w:hAnsi="Times New Roman" w:cs="Times New Roman"/>
          <w:sz w:val="24"/>
          <w:szCs w:val="24"/>
        </w:rPr>
        <w:t xml:space="preserve"> Approche centrée sur la forme versus approche centrée sur le sens</w:t>
      </w:r>
      <w:r w:rsidR="004A7EBF">
        <w:rPr>
          <w:rFonts w:ascii="Times New Roman" w:hAnsi="Times New Roman" w:cs="Times New Roman"/>
          <w:sz w:val="24"/>
          <w:szCs w:val="24"/>
        </w:rPr>
        <w:t xml:space="preserve">. </w:t>
      </w:r>
      <w:r w:rsidRPr="004A7EBF">
        <w:rPr>
          <w:rFonts w:ascii="Times New Roman" w:hAnsi="Times New Roman" w:cs="Times New Roman"/>
          <w:sz w:val="24"/>
          <w:szCs w:val="24"/>
        </w:rPr>
        <w:t>Dans le domaine de la didactique des langues, l’une des grandes questions débattues concerne le choix entre une approche centrée sur la forme et une approche centrée sur le sens. Besse et Galisson (1980) ont documenté les nombreuses polémiques qui ont émergé autour de cette question.</w:t>
      </w:r>
    </w:p>
    <w:p w:rsidR="009C0142" w:rsidRPr="000D2A4C" w:rsidRDefault="009C0142" w:rsidP="0056548B">
      <w:pPr>
        <w:pStyle w:val="Paragraphedeliste"/>
        <w:numPr>
          <w:ilvl w:val="0"/>
          <w:numId w:val="13"/>
        </w:numPr>
        <w:ind w:left="142" w:hanging="142"/>
        <w:jc w:val="both"/>
        <w:rPr>
          <w:rFonts w:ascii="Times New Roman" w:hAnsi="Times New Roman" w:cs="Times New Roman"/>
          <w:sz w:val="24"/>
          <w:szCs w:val="24"/>
        </w:rPr>
      </w:pPr>
      <w:r w:rsidRPr="000D2A4C">
        <w:rPr>
          <w:rFonts w:ascii="Times New Roman" w:hAnsi="Times New Roman" w:cs="Times New Roman"/>
          <w:b/>
          <w:bCs/>
          <w:sz w:val="24"/>
          <w:szCs w:val="24"/>
        </w:rPr>
        <w:t>Approche centrée sur la forme :</w:t>
      </w:r>
      <w:r w:rsidRPr="000D2A4C">
        <w:rPr>
          <w:rFonts w:ascii="Times New Roman" w:hAnsi="Times New Roman" w:cs="Times New Roman"/>
          <w:sz w:val="24"/>
          <w:szCs w:val="24"/>
        </w:rPr>
        <w:t xml:space="preserve"> Cette méthode, souvent associée à des pratiques issues du structuralisme, met l’accent sur la maîtrise des structures linguistiques et des règles grammaticales. L’objectif de cette approche est de permettre aux apprenants de connaître les structures de la langue et de les reproduire correctement. Les activités pédagogiques incluent souvent des exercices de répétition, des drills grammaticaux, et des exercices d'application structurée. Cette approche est critiquée pour son manque de contextualisation, car elle tend à isoler les éléments linguistiques du contexte réel de communication.</w:t>
      </w:r>
    </w:p>
    <w:p w:rsidR="009C0142" w:rsidRPr="000D2A4C" w:rsidRDefault="009C0142" w:rsidP="0056548B">
      <w:pPr>
        <w:pStyle w:val="Paragraphedeliste"/>
        <w:numPr>
          <w:ilvl w:val="0"/>
          <w:numId w:val="13"/>
        </w:numPr>
        <w:ind w:left="142" w:hanging="142"/>
        <w:jc w:val="both"/>
        <w:rPr>
          <w:rFonts w:ascii="Times New Roman" w:hAnsi="Times New Roman" w:cs="Times New Roman"/>
          <w:sz w:val="24"/>
          <w:szCs w:val="24"/>
        </w:rPr>
      </w:pPr>
      <w:r w:rsidRPr="000D2A4C">
        <w:rPr>
          <w:rFonts w:ascii="Times New Roman" w:hAnsi="Times New Roman" w:cs="Times New Roman"/>
          <w:b/>
          <w:bCs/>
          <w:sz w:val="24"/>
          <w:szCs w:val="24"/>
        </w:rPr>
        <w:t>Approche centrée sur le sens :</w:t>
      </w:r>
      <w:r w:rsidRPr="000D2A4C">
        <w:rPr>
          <w:rFonts w:ascii="Times New Roman" w:hAnsi="Times New Roman" w:cs="Times New Roman"/>
          <w:sz w:val="24"/>
          <w:szCs w:val="24"/>
        </w:rPr>
        <w:t xml:space="preserve"> En revanche, l’approche centrée sur le sens, souvent associée aux méthodes communicatives et actionnelles, vise à enseigner la langue comme un outil de communication dans des situations réelles. Ici, l’accent est mis sur la capacité des apprenants à utiliser la langue pour accomplir des tâches communicatives, telles que poser des questions, répondre à des invitations, ou débattre sur des sujets d’actualité. Les activités pédagogiques incluent des jeux de rôle, des discussions, et des simulations, où les apprenants doivent mobiliser leurs compétences linguistiques pour interagir dans des contextes variés. Cette approche est critiquée pour ne pas accorder suffisamment d’importance à la précision linguistique et à la correction grammaticale.</w:t>
      </w:r>
    </w:p>
    <w:p w:rsidR="009C0142" w:rsidRDefault="009C0142" w:rsidP="0056548B">
      <w:pPr>
        <w:pStyle w:val="Paragraphedeliste"/>
        <w:numPr>
          <w:ilvl w:val="0"/>
          <w:numId w:val="13"/>
        </w:numPr>
        <w:ind w:left="142" w:hanging="142"/>
        <w:jc w:val="both"/>
        <w:rPr>
          <w:rFonts w:ascii="Times New Roman" w:hAnsi="Times New Roman" w:cs="Times New Roman"/>
          <w:sz w:val="24"/>
          <w:szCs w:val="24"/>
        </w:rPr>
      </w:pPr>
      <w:r w:rsidRPr="000D2A4C">
        <w:rPr>
          <w:rFonts w:ascii="Times New Roman" w:hAnsi="Times New Roman" w:cs="Times New Roman"/>
          <w:b/>
          <w:bCs/>
          <w:sz w:val="24"/>
          <w:szCs w:val="24"/>
        </w:rPr>
        <w:t>Synthèse des deux approches :</w:t>
      </w:r>
      <w:r w:rsidRPr="000D2A4C">
        <w:rPr>
          <w:rFonts w:ascii="Times New Roman" w:hAnsi="Times New Roman" w:cs="Times New Roman"/>
          <w:sz w:val="24"/>
          <w:szCs w:val="24"/>
        </w:rPr>
        <w:t xml:space="preserve"> Au-delà de cette opposition, certains didacticiens, dont Besse et Galisson (1980), ont proposé une synthèse des deux approches, où l’enseignement des formes linguistiques est intégré dans des situations de communication authentiques. Cette approche dite « intégrée » permet de réconcilier l'apprentissage des structures linguistiques avec leur utilisation fonctionnelle. Elle propose d’enseigner la grammaire et le vocabulaire dans des contextes significatifs, où les apprenants sont amenés à utiliser ces formes pour communiquer efficacement.</w:t>
      </w:r>
    </w:p>
    <w:p w:rsidR="0049731C" w:rsidRPr="000D2A4C" w:rsidRDefault="0049731C" w:rsidP="0049731C">
      <w:pPr>
        <w:pStyle w:val="Paragraphedeliste"/>
        <w:ind w:left="284"/>
        <w:jc w:val="both"/>
        <w:rPr>
          <w:rFonts w:ascii="Times New Roman" w:hAnsi="Times New Roman" w:cs="Times New Roman"/>
          <w:sz w:val="24"/>
          <w:szCs w:val="24"/>
        </w:rPr>
      </w:pPr>
    </w:p>
    <w:p w:rsidR="00495615" w:rsidRPr="0049731C" w:rsidRDefault="007D1DEB" w:rsidP="0049731C">
      <w:pPr>
        <w:pStyle w:val="Paragraphedeliste"/>
        <w:numPr>
          <w:ilvl w:val="0"/>
          <w:numId w:val="7"/>
        </w:numPr>
        <w:ind w:left="284" w:hanging="284"/>
        <w:jc w:val="both"/>
        <w:rPr>
          <w:rFonts w:ascii="Times New Roman" w:hAnsi="Times New Roman" w:cs="Times New Roman"/>
          <w:sz w:val="24"/>
          <w:szCs w:val="24"/>
        </w:rPr>
      </w:pPr>
      <w:r w:rsidRPr="0049731C">
        <w:rPr>
          <w:rFonts w:ascii="Times New Roman" w:hAnsi="Times New Roman" w:cs="Times New Roman"/>
          <w:sz w:val="24"/>
          <w:szCs w:val="24"/>
        </w:rPr>
        <w:t>Les</w:t>
      </w:r>
      <w:r w:rsidR="009C0142" w:rsidRPr="0049731C">
        <w:rPr>
          <w:rFonts w:ascii="Times New Roman" w:hAnsi="Times New Roman" w:cs="Times New Roman"/>
          <w:sz w:val="24"/>
          <w:szCs w:val="24"/>
        </w:rPr>
        <w:t xml:space="preserve"> approches pédagogiques et les débats méthodologiques en didactique des langues, qu’il s’agisse de la taxonomie des objectifs pédagogiques de Bloom (1982) ou des polémiques sur l’approche centrée sur la forme versus l’approche centrée sur le sens, montrent la complexité de l'enseignement du FLE et de la L2. Ces outils théoriques et débats pédagogiques contribuent à enrichir les pratiques enseignantes, en offrant des perspectives variées sur la manière d’accompagner les apprenants dans leur parcours linguistique.</w:t>
      </w:r>
    </w:p>
    <w:p w:rsidR="00F105EE" w:rsidRPr="00DB0572" w:rsidRDefault="00F105EE" w:rsidP="009D3A39">
      <w:pPr>
        <w:jc w:val="both"/>
        <w:rPr>
          <w:rFonts w:ascii="Times New Roman" w:hAnsi="Times New Roman" w:cs="Times New Roman"/>
          <w:b/>
          <w:bCs/>
          <w:sz w:val="24"/>
          <w:szCs w:val="24"/>
        </w:rPr>
      </w:pPr>
      <w:r w:rsidRPr="00DB0572">
        <w:rPr>
          <w:rFonts w:ascii="Times New Roman" w:hAnsi="Times New Roman" w:cs="Times New Roman"/>
          <w:b/>
          <w:bCs/>
          <w:sz w:val="24"/>
          <w:szCs w:val="24"/>
        </w:rPr>
        <w:t>4. Pratiques en classe et formation des enseignants</w:t>
      </w:r>
    </w:p>
    <w:p w:rsidR="00F105EE" w:rsidRPr="00DB0572" w:rsidRDefault="00F105EE" w:rsidP="009D3A39">
      <w:pPr>
        <w:jc w:val="both"/>
        <w:rPr>
          <w:rFonts w:ascii="Times New Roman" w:hAnsi="Times New Roman" w:cs="Times New Roman"/>
          <w:sz w:val="24"/>
          <w:szCs w:val="24"/>
        </w:rPr>
      </w:pPr>
      <w:r w:rsidRPr="00DB0572">
        <w:rPr>
          <w:rFonts w:ascii="Times New Roman" w:hAnsi="Times New Roman" w:cs="Times New Roman"/>
          <w:sz w:val="24"/>
          <w:szCs w:val="24"/>
        </w:rPr>
        <w:t xml:space="preserve">L’enseignement des langues étrangères et secondes, notamment du français langue étrangère (FLE), s’inscrit dans un cadre pédagogique où les pratiques en classe et la formation continue des enseignants sont essentielles. Pescheux (2007) et Puren, Bertoccini et Costanzo (1998) </w:t>
      </w:r>
      <w:r w:rsidRPr="00DB0572">
        <w:rPr>
          <w:rFonts w:ascii="Times New Roman" w:hAnsi="Times New Roman" w:cs="Times New Roman"/>
          <w:sz w:val="24"/>
          <w:szCs w:val="24"/>
        </w:rPr>
        <w:lastRenderedPageBreak/>
        <w:t>offrent des perspectives complémentaires sur l’importance de l’analyse des pratiques enseignantes et de la formation des enseignants en didactique des langues, soulignant ainsi le besoin d’une réflexion critique et d’une mise à jour constante des compétences pédagogiques.</w:t>
      </w:r>
    </w:p>
    <w:p w:rsidR="00F105EE" w:rsidRPr="000029E7" w:rsidRDefault="00F105EE" w:rsidP="000029E7">
      <w:pPr>
        <w:pStyle w:val="Paragraphedeliste"/>
        <w:numPr>
          <w:ilvl w:val="0"/>
          <w:numId w:val="5"/>
        </w:numPr>
        <w:ind w:left="284" w:hanging="284"/>
        <w:jc w:val="both"/>
        <w:rPr>
          <w:rFonts w:ascii="Times New Roman" w:hAnsi="Times New Roman" w:cs="Times New Roman"/>
          <w:b/>
          <w:bCs/>
          <w:sz w:val="24"/>
          <w:szCs w:val="24"/>
        </w:rPr>
      </w:pPr>
      <w:r w:rsidRPr="000029E7">
        <w:rPr>
          <w:rFonts w:ascii="Times New Roman" w:hAnsi="Times New Roman" w:cs="Times New Roman"/>
          <w:b/>
          <w:bCs/>
          <w:sz w:val="24"/>
          <w:szCs w:val="24"/>
        </w:rPr>
        <w:t>Analyse des pratiques enseignantes en FLE : Une réflexion critique (Pescheux, 2007)</w:t>
      </w:r>
    </w:p>
    <w:p w:rsidR="00F105EE" w:rsidRPr="00DB0572" w:rsidRDefault="00F105EE" w:rsidP="009D3A39">
      <w:pPr>
        <w:jc w:val="both"/>
        <w:rPr>
          <w:rFonts w:ascii="Times New Roman" w:hAnsi="Times New Roman" w:cs="Times New Roman"/>
          <w:sz w:val="24"/>
          <w:szCs w:val="24"/>
        </w:rPr>
      </w:pPr>
      <w:r w:rsidRPr="00DB0572">
        <w:rPr>
          <w:rFonts w:ascii="Times New Roman" w:hAnsi="Times New Roman" w:cs="Times New Roman"/>
          <w:sz w:val="24"/>
          <w:szCs w:val="24"/>
        </w:rPr>
        <w:t>L’analyse des pratiques enseignantes est un outil fondamental pour réfléchir sur les méthodes utilisées en classe, évaluer leur efficacité, et proposer des ajustements adaptés aux besoins des apprenants. Pescheux (2007) propose un modèle d’analyse de la pratique enseignante en FLE qui repose sur une réflexion critique des enseignants quant à leur approche pédagogique. Cette démarche vise à améliorer la qualité de l’enseignement et à maximiser les apprentissages.</w:t>
      </w:r>
    </w:p>
    <w:p w:rsidR="00F105EE" w:rsidRPr="00DB0572" w:rsidRDefault="00F105EE" w:rsidP="005D0291">
      <w:pPr>
        <w:tabs>
          <w:tab w:val="left" w:pos="284"/>
        </w:tabs>
        <w:jc w:val="both"/>
        <w:rPr>
          <w:rFonts w:ascii="Times New Roman" w:hAnsi="Times New Roman" w:cs="Times New Roman"/>
          <w:sz w:val="24"/>
          <w:szCs w:val="24"/>
        </w:rPr>
      </w:pPr>
      <w:r w:rsidRPr="00DB0572">
        <w:rPr>
          <w:rFonts w:ascii="Times New Roman" w:hAnsi="Times New Roman" w:cs="Times New Roman"/>
          <w:sz w:val="24"/>
          <w:szCs w:val="24"/>
        </w:rPr>
        <w:t>L’analyse de la pratique permet de décortiquer plusieurs aspec</w:t>
      </w:r>
      <w:r w:rsidR="00171DE2" w:rsidRPr="00DB0572">
        <w:rPr>
          <w:rFonts w:ascii="Times New Roman" w:hAnsi="Times New Roman" w:cs="Times New Roman"/>
          <w:sz w:val="24"/>
          <w:szCs w:val="24"/>
        </w:rPr>
        <w:t>ts de l’enseignement, notamment</w:t>
      </w:r>
      <w:r w:rsidRPr="00DB0572">
        <w:rPr>
          <w:rFonts w:ascii="Times New Roman" w:hAnsi="Times New Roman" w:cs="Times New Roman"/>
          <w:sz w:val="24"/>
          <w:szCs w:val="24"/>
        </w:rPr>
        <w:t>:</w:t>
      </w:r>
    </w:p>
    <w:p w:rsidR="00BB5646" w:rsidRPr="00BB5646" w:rsidRDefault="00F105EE" w:rsidP="00BB5646">
      <w:pPr>
        <w:pStyle w:val="Paragraphedeliste"/>
        <w:numPr>
          <w:ilvl w:val="0"/>
          <w:numId w:val="5"/>
        </w:numPr>
        <w:tabs>
          <w:tab w:val="left" w:pos="426"/>
        </w:tabs>
        <w:ind w:left="0" w:firstLine="0"/>
        <w:jc w:val="both"/>
        <w:rPr>
          <w:rFonts w:ascii="Times New Roman" w:hAnsi="Times New Roman" w:cs="Times New Roman"/>
          <w:sz w:val="24"/>
          <w:szCs w:val="24"/>
        </w:rPr>
      </w:pPr>
      <w:r w:rsidRPr="000029E7">
        <w:rPr>
          <w:rFonts w:ascii="Times New Roman" w:hAnsi="Times New Roman" w:cs="Times New Roman"/>
          <w:b/>
          <w:bCs/>
          <w:sz w:val="24"/>
          <w:szCs w:val="24"/>
        </w:rPr>
        <w:t>Les méthodes pédagogiques :</w:t>
      </w:r>
      <w:r w:rsidRPr="000029E7">
        <w:rPr>
          <w:rFonts w:ascii="Times New Roman" w:hAnsi="Times New Roman" w:cs="Times New Roman"/>
          <w:sz w:val="24"/>
          <w:szCs w:val="24"/>
        </w:rPr>
        <w:t xml:space="preserve"> En observant la manière dont les enseignants abordent les cours, il est possible d’identifier quelles méthodes sont les plus efficaces pour aider les apprenants à intégrer les connaissances linguistiques. Par exemple, l’utilisation de jeux de rôle, de mises en situation ou de discussions en groupe sont autant de méthodes qui favorisent l’acquisition des compétences communicatives en FLE.</w:t>
      </w:r>
    </w:p>
    <w:p w:rsidR="00F105EE" w:rsidRPr="00BB5646" w:rsidRDefault="00F105EE" w:rsidP="00DE2209">
      <w:pPr>
        <w:pStyle w:val="Paragraphedeliste"/>
        <w:numPr>
          <w:ilvl w:val="0"/>
          <w:numId w:val="5"/>
        </w:numPr>
        <w:tabs>
          <w:tab w:val="left" w:pos="284"/>
        </w:tabs>
        <w:ind w:left="0" w:firstLine="0"/>
        <w:jc w:val="both"/>
        <w:rPr>
          <w:rFonts w:ascii="Times New Roman" w:hAnsi="Times New Roman" w:cs="Times New Roman"/>
          <w:sz w:val="24"/>
          <w:szCs w:val="24"/>
        </w:rPr>
      </w:pPr>
      <w:r w:rsidRPr="00BB5646">
        <w:rPr>
          <w:rFonts w:ascii="Times New Roman" w:hAnsi="Times New Roman" w:cs="Times New Roman"/>
          <w:b/>
          <w:bCs/>
          <w:sz w:val="24"/>
          <w:szCs w:val="24"/>
        </w:rPr>
        <w:t>L’adaptation aux besoins des apprenants :</w:t>
      </w:r>
      <w:r w:rsidRPr="00BB5646">
        <w:rPr>
          <w:rFonts w:ascii="Times New Roman" w:hAnsi="Times New Roman" w:cs="Times New Roman"/>
          <w:sz w:val="24"/>
          <w:szCs w:val="24"/>
        </w:rPr>
        <w:t xml:space="preserve"> Pescheux souligne l’importance pour les enseignants de s’adapter aux besoins spécifiques de leurs étudiants, qu’il s’agisse de leur niveau de langue, de leurs objectifs d’apprentissage, ou encore de leur contexte socioculturel. Cela signifie que les enseignants doivent faire preuve de flexibilité dans leur approche et être capables de modifier leurs plans de cours en fonction des réactions et des progrès des apprenants.</w:t>
      </w:r>
    </w:p>
    <w:p w:rsidR="00F105EE" w:rsidRPr="00BD0BE9"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b/>
          <w:bCs/>
          <w:sz w:val="24"/>
          <w:szCs w:val="24"/>
        </w:rPr>
        <w:t>L’évaluation des résultats :</w:t>
      </w:r>
      <w:r w:rsidRPr="00BD0BE9">
        <w:rPr>
          <w:rFonts w:ascii="Times New Roman" w:hAnsi="Times New Roman" w:cs="Times New Roman"/>
          <w:sz w:val="24"/>
          <w:szCs w:val="24"/>
        </w:rPr>
        <w:t xml:space="preserve"> L’évaluation des pratiques enseignantes ne se limite pas à l’analyse de la performance des étudiants. Il est essentiel de se demander dans quelle mesure les méthodes utilisées permettent d’atteindre les objectifs pédagogiques. Cette réflexion critique doit encourager une remise en question continue, où les enseignants évaluent la pertinence de leurs choix pédagogiques et cherchent à les améliorer.</w:t>
      </w:r>
    </w:p>
    <w:p w:rsidR="00F105EE" w:rsidRPr="00BD0BE9"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sz w:val="24"/>
          <w:szCs w:val="24"/>
        </w:rPr>
        <w:t>Pescheux (2007) propose que cette réflexion soit intégrée dans une démarche collective, où les enseignants partagent leurs expériences et confrontent leurs méthodes. La collaboration entre enseignants, à travers des ateliers de formation ou des groupes de discussion, permet d’enrichir la pratique enseignante et d’offrir des solutions concrètes aux défis rencontrés en classe.</w:t>
      </w:r>
    </w:p>
    <w:p w:rsidR="00F105EE" w:rsidRPr="00BD0BE9" w:rsidRDefault="00F105EE" w:rsidP="00BD0BE9">
      <w:pPr>
        <w:pStyle w:val="Paragraphedeliste"/>
        <w:numPr>
          <w:ilvl w:val="0"/>
          <w:numId w:val="9"/>
        </w:numPr>
        <w:ind w:left="142" w:hanging="142"/>
        <w:jc w:val="both"/>
        <w:rPr>
          <w:rFonts w:ascii="Times New Roman" w:hAnsi="Times New Roman" w:cs="Times New Roman"/>
          <w:b/>
          <w:bCs/>
          <w:sz w:val="24"/>
          <w:szCs w:val="24"/>
        </w:rPr>
      </w:pPr>
      <w:r w:rsidRPr="00BD0BE9">
        <w:rPr>
          <w:rFonts w:ascii="Times New Roman" w:hAnsi="Times New Roman" w:cs="Times New Roman"/>
          <w:b/>
          <w:bCs/>
          <w:sz w:val="24"/>
          <w:szCs w:val="24"/>
        </w:rPr>
        <w:t>Formation des enseignants en didactique des langues : Un enjeu crucial (Puren, Bertoccini, &amp; Costanzo, 1998)</w:t>
      </w:r>
    </w:p>
    <w:p w:rsidR="00F105EE" w:rsidRPr="00BD0BE9"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sz w:val="24"/>
          <w:szCs w:val="24"/>
        </w:rPr>
        <w:t>L’amélioration des pratiques en classe passe inévitablement par une formation continue des enseignants en didactique des langues. Comme le soulignent Puren, Bertoccini et Costanzo (1998), la formation des enseignants est un élément clé dans l’évolution de la qualité des pratiques pédagogiques. En effet, l’enseignement des langues, et plus particulièrement du FLE, requiert une mise à jour constante des savoirs et des méthodes, en raison de l’évolution rapide des théories linguistiques et des technologies éducatives.</w:t>
      </w:r>
    </w:p>
    <w:p w:rsidR="00F105EE" w:rsidRPr="00BD0BE9"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b/>
          <w:bCs/>
          <w:sz w:val="24"/>
          <w:szCs w:val="24"/>
        </w:rPr>
        <w:t>Mise à jour des connaissances théoriques :</w:t>
      </w:r>
      <w:r w:rsidRPr="00BD0BE9">
        <w:rPr>
          <w:rFonts w:ascii="Times New Roman" w:hAnsi="Times New Roman" w:cs="Times New Roman"/>
          <w:sz w:val="24"/>
          <w:szCs w:val="24"/>
        </w:rPr>
        <w:t xml:space="preserve"> La didactique des langues est un champ en perpétuelle évolution, influencé par les avancées dans les domaines de la linguistique </w:t>
      </w:r>
      <w:r w:rsidRPr="00BD0BE9">
        <w:rPr>
          <w:rFonts w:ascii="Times New Roman" w:hAnsi="Times New Roman" w:cs="Times New Roman"/>
          <w:sz w:val="24"/>
          <w:szCs w:val="24"/>
        </w:rPr>
        <w:lastRenderedPageBreak/>
        <w:t>appliquée, de la psychologie cognitive, et des sciences de l’éducation. Il est donc essentiel pour les enseignants de rester informés des dernières recherches et théories afin d’adapter leurs méthodes à l’état actuel des connaissances. Par exemple, l’introduction de la perspective actionnelle dans l’enseignement des langues étrangères, qui met l’accent sur la réalisation de tâches concrètes en contexte, a révolutionné les approches pédagogiques et nécessite une formation spécifique pour être correctement mise en œuvre.</w:t>
      </w:r>
    </w:p>
    <w:p w:rsidR="00F105EE" w:rsidRPr="00BD0BE9"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b/>
          <w:bCs/>
          <w:sz w:val="24"/>
          <w:szCs w:val="24"/>
        </w:rPr>
        <w:t>Utilisation des nouvelles technologies :</w:t>
      </w:r>
      <w:r w:rsidRPr="00BD0BE9">
        <w:rPr>
          <w:rFonts w:ascii="Times New Roman" w:hAnsi="Times New Roman" w:cs="Times New Roman"/>
          <w:sz w:val="24"/>
          <w:szCs w:val="24"/>
        </w:rPr>
        <w:t xml:space="preserve"> L’évolution des outils numériques et des environnements d’apprentissage en ligne offre de nouvelles opportunités pour l’enseignement des langues. La formation des enseignants doit inclure des modules sur l’utilisation de ces technologies afin d’enrichir l’expérience d’apprentissage. Par exemple, les plateformes de cours en ligne, les applications mobiles pour l’apprentissage des langues, ou encore les systèmes de tutorat en ligne permettent d’offrir des interactions plus riches et plus variées pour les apprenants. La maîtrise de ces outils est essentielle pour un enseignement moderne et dynamique.</w:t>
      </w:r>
    </w:p>
    <w:p w:rsidR="00F105EE" w:rsidRPr="00BD0BE9"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b/>
          <w:bCs/>
          <w:sz w:val="24"/>
          <w:szCs w:val="24"/>
        </w:rPr>
        <w:t>Approches interculturelles :</w:t>
      </w:r>
      <w:r w:rsidRPr="00BD0BE9">
        <w:rPr>
          <w:rFonts w:ascii="Times New Roman" w:hAnsi="Times New Roman" w:cs="Times New Roman"/>
          <w:sz w:val="24"/>
          <w:szCs w:val="24"/>
        </w:rPr>
        <w:t xml:space="preserve"> Enseigner une langue étrangère ou seconde implique également de prendre en compte la dimension interculturelle de l’apprentissage. En effet, la langue ne peut être dissociée de la culture qui l’accompagne, et les enseignants doivent être formés pour intégrer cette dimension dans leurs cours. Cela implique d’être sensible aux différences culturelles, de comprendre les référents culturels des apprenants, et d’être capable de transmettre les subtilités culturelles de la langue enseignée. Des formations spécifiques sur l’interculturalité, comme le propose Puren et al. (1998), permettent aux enseignants de développer ces compétences et d’enrichir leur pratique.</w:t>
      </w:r>
    </w:p>
    <w:p w:rsidR="00F105EE" w:rsidRDefault="00F105EE" w:rsidP="00BD0BE9">
      <w:pPr>
        <w:pStyle w:val="Paragraphedeliste"/>
        <w:numPr>
          <w:ilvl w:val="0"/>
          <w:numId w:val="9"/>
        </w:numPr>
        <w:ind w:left="142" w:hanging="142"/>
        <w:jc w:val="both"/>
        <w:rPr>
          <w:rFonts w:ascii="Times New Roman" w:hAnsi="Times New Roman" w:cs="Times New Roman"/>
          <w:sz w:val="24"/>
          <w:szCs w:val="24"/>
        </w:rPr>
      </w:pPr>
      <w:r w:rsidRPr="00BD0BE9">
        <w:rPr>
          <w:rFonts w:ascii="Times New Roman" w:hAnsi="Times New Roman" w:cs="Times New Roman"/>
          <w:b/>
          <w:bCs/>
          <w:sz w:val="24"/>
          <w:szCs w:val="24"/>
        </w:rPr>
        <w:t>Réflexion sur les pratiques pédagogiques :</w:t>
      </w:r>
      <w:r w:rsidRPr="00BD0BE9">
        <w:rPr>
          <w:rFonts w:ascii="Times New Roman" w:hAnsi="Times New Roman" w:cs="Times New Roman"/>
          <w:sz w:val="24"/>
          <w:szCs w:val="24"/>
        </w:rPr>
        <w:t xml:space="preserve"> Enfin, la formation continue permet aux enseignants de réfléchir sur leur pratique et d’échanger avec leurs pairs pour améliorer leurs méthodes d’enseignement. Les ateliers, les séminaires, et les groupes de réflexion sont autant de dispositifs qui encouragent une remise en question constructive des pratiques en classe. Ces formations visent à favoriser une approche réflexive où les enseignants apprennent à analyser leurs cours, à identifier les forces et les faiblesses de leurs approches, et à mettre en place des solutions pour améliorer l’efficacité pédagogique.</w:t>
      </w:r>
    </w:p>
    <w:p w:rsidR="0011559E" w:rsidRPr="00BD0BE9" w:rsidRDefault="0011559E" w:rsidP="0011559E">
      <w:pPr>
        <w:pStyle w:val="Paragraphedeliste"/>
        <w:ind w:left="142"/>
        <w:jc w:val="both"/>
        <w:rPr>
          <w:rFonts w:ascii="Times New Roman" w:hAnsi="Times New Roman" w:cs="Times New Roman"/>
          <w:sz w:val="24"/>
          <w:szCs w:val="24"/>
        </w:rPr>
      </w:pPr>
    </w:p>
    <w:p w:rsidR="004C3BC5" w:rsidRPr="00BD0BE9" w:rsidRDefault="00F105EE" w:rsidP="0011559E">
      <w:pPr>
        <w:pStyle w:val="Paragraphedeliste"/>
        <w:numPr>
          <w:ilvl w:val="0"/>
          <w:numId w:val="7"/>
        </w:numPr>
        <w:ind w:left="284" w:hanging="284"/>
        <w:jc w:val="both"/>
        <w:rPr>
          <w:rFonts w:ascii="Times New Roman" w:hAnsi="Times New Roman" w:cs="Times New Roman"/>
          <w:sz w:val="24"/>
          <w:szCs w:val="24"/>
        </w:rPr>
      </w:pPr>
      <w:r w:rsidRPr="00BD0BE9">
        <w:rPr>
          <w:rFonts w:ascii="Times New Roman" w:hAnsi="Times New Roman" w:cs="Times New Roman"/>
          <w:sz w:val="24"/>
          <w:szCs w:val="24"/>
        </w:rPr>
        <w:t>La formation continue des enseignants, comme le soulignent Puren, Bertoccini et Costanzo (1998), est une condition essentielle pour assurer un enseignement de qualité en FLE et L2. Elle permet aux enseignants de se mettre à jour, de s’adapter aux nouveaux défis pédagogiques, et d’offrir un apprentissage riche et pertinent aux apprenants. L’analyse des pratiques enseignantes et la formation continue sont ainsi les deux piliers sur lesquels repose la pédagogie moderne des langues étrangères et secondes.</w:t>
      </w:r>
    </w:p>
    <w:p w:rsidR="00C15112" w:rsidRPr="00DB0572" w:rsidRDefault="00C15112" w:rsidP="00817757">
      <w:pPr>
        <w:jc w:val="both"/>
        <w:rPr>
          <w:rFonts w:ascii="Times New Roman" w:hAnsi="Times New Roman" w:cs="Times New Roman"/>
          <w:b/>
          <w:bCs/>
          <w:sz w:val="24"/>
          <w:szCs w:val="24"/>
        </w:rPr>
      </w:pPr>
      <w:r w:rsidRPr="00DB0572">
        <w:rPr>
          <w:rFonts w:ascii="Times New Roman" w:hAnsi="Times New Roman" w:cs="Times New Roman"/>
          <w:b/>
          <w:bCs/>
          <w:sz w:val="24"/>
          <w:szCs w:val="24"/>
        </w:rPr>
        <w:t>5. Concepts cognitifs et linguistiques</w:t>
      </w:r>
    </w:p>
    <w:p w:rsidR="00C15112" w:rsidRPr="00DB0572" w:rsidRDefault="00C15112" w:rsidP="00224FB0">
      <w:pPr>
        <w:jc w:val="both"/>
        <w:rPr>
          <w:rFonts w:ascii="Times New Roman" w:hAnsi="Times New Roman" w:cs="Times New Roman"/>
          <w:sz w:val="24"/>
          <w:szCs w:val="24"/>
        </w:rPr>
      </w:pPr>
      <w:r w:rsidRPr="00DB0572">
        <w:rPr>
          <w:rFonts w:ascii="Times New Roman" w:hAnsi="Times New Roman" w:cs="Times New Roman"/>
          <w:sz w:val="24"/>
          <w:szCs w:val="24"/>
        </w:rPr>
        <w:t xml:space="preserve">L'acquisition des langues est un processus complexe qui implique non seulement des compétences linguistiques, mais aussi des dimensions cognitives essentielles. L’étude des dimensions cognitives dans l’acquisition des langues et des considérations ergonomiques dans l’enseignement des langues permet de mieux comprendre comment le développement cognitif influence l'apprentissage et comment optimiser l’environnement d’apprentissage pour favoriser </w:t>
      </w:r>
      <w:r w:rsidRPr="00DB0572">
        <w:rPr>
          <w:rFonts w:ascii="Times New Roman" w:hAnsi="Times New Roman" w:cs="Times New Roman"/>
          <w:sz w:val="24"/>
          <w:szCs w:val="24"/>
        </w:rPr>
        <w:lastRenderedPageBreak/>
        <w:t>la réussite des élèves. Les travaux d'Alvarez et Perron (1995) et de Pescheux (2007) apportent un éclairage significatif sur ces questions.</w:t>
      </w:r>
    </w:p>
    <w:p w:rsidR="00C15112" w:rsidRPr="00F253B7" w:rsidRDefault="00C15112" w:rsidP="00F253B7">
      <w:pPr>
        <w:pStyle w:val="Paragraphedeliste"/>
        <w:numPr>
          <w:ilvl w:val="0"/>
          <w:numId w:val="10"/>
        </w:numPr>
        <w:ind w:left="142" w:hanging="142"/>
        <w:jc w:val="both"/>
        <w:rPr>
          <w:rFonts w:ascii="Times New Roman" w:hAnsi="Times New Roman" w:cs="Times New Roman"/>
          <w:b/>
          <w:bCs/>
          <w:sz w:val="24"/>
          <w:szCs w:val="24"/>
        </w:rPr>
      </w:pPr>
      <w:r w:rsidRPr="00F253B7">
        <w:rPr>
          <w:rFonts w:ascii="Times New Roman" w:hAnsi="Times New Roman" w:cs="Times New Roman"/>
          <w:b/>
          <w:bCs/>
          <w:sz w:val="24"/>
          <w:szCs w:val="24"/>
        </w:rPr>
        <w:t>Les dimensions cognitives dans l’acquisition des langues (Alvarez &amp; Perron, 1995)</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sz w:val="24"/>
          <w:szCs w:val="24"/>
        </w:rPr>
        <w:t>Alvarez et Perron (1995) mettent en avant le lien intrinsèque entre le développement cognitif des apprenants et l'apprentissage des langues. Cette relation peut être analysée à travers plusieurs axes :</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Le développement cognitif et ses stades :</w:t>
      </w:r>
      <w:r w:rsidRPr="00F253B7">
        <w:rPr>
          <w:rFonts w:ascii="Times New Roman" w:hAnsi="Times New Roman" w:cs="Times New Roman"/>
          <w:sz w:val="24"/>
          <w:szCs w:val="24"/>
        </w:rPr>
        <w:t xml:space="preserve"> L'acquisition d'une langue étrangère ou d'une langue seconde s'inscrit dans le cadre du développement cognitif des apprenants. Selon la théorie du développement cognitif de Jean Piaget, les individus passent par différentes étapes, chacune caractérisée par des capacités cognitives spécifiques. Les apprenants en FLE ou L2, selon leur âge et leur niveau de maturité cognitive, ne possèdent pas nécessairement les mêmes outils pour appréhender des concepts linguistiques complexes. Par exemple, les enfants en âge préscolaire peuvent mieux réussir à acquérir des structures de base à travers des jeux et des activités ludiques, alors que les adultes peuvent aborder des structures plus abstraites grâce à des approches analytiques.</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La mémoire et l’apprentissage des langues :</w:t>
      </w:r>
      <w:r w:rsidRPr="00F253B7">
        <w:rPr>
          <w:rFonts w:ascii="Times New Roman" w:hAnsi="Times New Roman" w:cs="Times New Roman"/>
          <w:sz w:val="24"/>
          <w:szCs w:val="24"/>
        </w:rPr>
        <w:t xml:space="preserve"> La mémoire joue un rôle crucial dans l'acquisition des langues. Les stratégies mnémotechniques, par exemple, sont souvent employées pour aider les apprenants à retenir le vocabulaire et les règles grammaticales. Alvarez et Perron soulignent l’importance de la mémoire de travail et de la mémoire à long terme dans le processus d’apprentissage. La mémoire de travail est essentielle lors de la compréhension et de la production langagière en temps réel, tandis que la mémoire à long terme permet de stocker durablement les connaissances acquises. Les enseignants doivent donc concevoir des activités qui stimulent ces deux types de mémoire, par exemple à travers des répétitions espacées et des révisions contextuelles.</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Le rôle de la métacognition :</w:t>
      </w:r>
      <w:r w:rsidRPr="00F253B7">
        <w:rPr>
          <w:rFonts w:ascii="Times New Roman" w:hAnsi="Times New Roman" w:cs="Times New Roman"/>
          <w:sz w:val="24"/>
          <w:szCs w:val="24"/>
        </w:rPr>
        <w:t xml:space="preserve"> La métacognition, ou la capacité des apprenants à réfléchir sur leurs propres processus d'apprentissage, est également un aspect crucial de l'acquisition des langues. Les apprenants qui développent des compétences métacognitives peuvent mieux planifier, surveiller et évaluer leurs progrès dans l’apprentissage. Les enseignants sont appelés à encourager cette réflexion métacognitive, par exemple en demandant aux apprenants d’auto-évaluer leurs performances, de fixer des objectifs d'apprentissage ou de réfléchir sur les stratégies qui fonctionnent le mieux pour eux.</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Interaction et apprentissage :</w:t>
      </w:r>
      <w:r w:rsidRPr="00F253B7">
        <w:rPr>
          <w:rFonts w:ascii="Times New Roman" w:hAnsi="Times New Roman" w:cs="Times New Roman"/>
          <w:sz w:val="24"/>
          <w:szCs w:val="24"/>
        </w:rPr>
        <w:t xml:space="preserve"> Enfin, l'interaction sociale joue un rôle majeur dans le développement cognitif et l'acquisition des langues. Les théories sociocognitives, telles que celles proposées par Vygotsky, soulignent l'importance de l'interaction avec les pairs et les enseignants pour favoriser l'apprentissage. Les échanges verbaux, les discussions et les travaux en groupe contribuent à enrichir l’expérience d’apprentissage et à stimuler le développement cognitif. En intégrant des activités interactives, les enseignants peuvent favoriser un environnement d’apprentissage dynamique qui encourage la pratique de la langue et la construction de connaissances.</w:t>
      </w:r>
    </w:p>
    <w:p w:rsidR="00C15112" w:rsidRPr="00F253B7" w:rsidRDefault="00C15112" w:rsidP="00F253B7">
      <w:pPr>
        <w:pStyle w:val="Paragraphedeliste"/>
        <w:numPr>
          <w:ilvl w:val="0"/>
          <w:numId w:val="10"/>
        </w:numPr>
        <w:ind w:left="142" w:hanging="142"/>
        <w:jc w:val="both"/>
        <w:rPr>
          <w:rFonts w:ascii="Times New Roman" w:hAnsi="Times New Roman" w:cs="Times New Roman"/>
          <w:b/>
          <w:bCs/>
          <w:sz w:val="24"/>
          <w:szCs w:val="24"/>
        </w:rPr>
      </w:pPr>
      <w:r w:rsidRPr="00F253B7">
        <w:rPr>
          <w:rFonts w:ascii="Times New Roman" w:hAnsi="Times New Roman" w:cs="Times New Roman"/>
          <w:b/>
          <w:bCs/>
          <w:sz w:val="24"/>
          <w:szCs w:val="24"/>
        </w:rPr>
        <w:t>Considérations ergonomiques dans l’enseignement des langues (Pescheux, 2007)</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sz w:val="24"/>
          <w:szCs w:val="24"/>
        </w:rPr>
        <w:t xml:space="preserve">Les considérations ergonomiques dans l’enseignement des langues, selon Pescheux (2007), visent à optimiser l’environnement d’apprentissage afin de favoriser la réussite des élèves. </w:t>
      </w:r>
      <w:r w:rsidRPr="00F253B7">
        <w:rPr>
          <w:rFonts w:ascii="Times New Roman" w:hAnsi="Times New Roman" w:cs="Times New Roman"/>
          <w:sz w:val="24"/>
          <w:szCs w:val="24"/>
        </w:rPr>
        <w:lastRenderedPageBreak/>
        <w:t>Une approche ergonomique tient compte des besoins physiques et cognitifs des apprenants pour concevoir des situations d'apprentissage efficaces.</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Aménagement de l'espace d'apprentissage :</w:t>
      </w:r>
      <w:r w:rsidRPr="00F253B7">
        <w:rPr>
          <w:rFonts w:ascii="Times New Roman" w:hAnsi="Times New Roman" w:cs="Times New Roman"/>
          <w:sz w:val="24"/>
          <w:szCs w:val="24"/>
        </w:rPr>
        <w:t xml:space="preserve"> L'organisation physique de la salle de classe peut avoir un impact significatif sur l’apprentissage. Pescheux souligne que l'espace doit être conçu pour encourager l'interaction entre les apprenants et faciliter les activités collaboratives. Par exemple, des dispositions en U ou des tables modulables permettent de créer un environnement propice aux échanges et à la communication, essentiels dans l'apprentissage des langues.</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Utilisation des ressources multimodales :</w:t>
      </w:r>
      <w:r w:rsidRPr="00F253B7">
        <w:rPr>
          <w:rFonts w:ascii="Times New Roman" w:hAnsi="Times New Roman" w:cs="Times New Roman"/>
          <w:sz w:val="24"/>
          <w:szCs w:val="24"/>
        </w:rPr>
        <w:t xml:space="preserve"> L'intégration de ressources multimodales, telles que les supports audio, vidéo et numériques, peut enrichir l'expérience d'apprentissage et répondre à différents styles d'apprentissage. Pescheux insiste sur l’importance de variété dans les supports utilisés, car ils permettent de stimuler l’intérêt des apprenants et d’adapter l’enseignement aux divers besoins linguistiques. Par exemple, l'utilisation de vidéos et d'extraits audio authentiques peut exposer les apprenants à des variétés de langue et à des contextes culturels différents.</w:t>
      </w:r>
    </w:p>
    <w:p w:rsidR="00C15112" w:rsidRPr="00F253B7"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Stratégies d’enseignement adaptées :</w:t>
      </w:r>
      <w:r w:rsidRPr="00F253B7">
        <w:rPr>
          <w:rFonts w:ascii="Times New Roman" w:hAnsi="Times New Roman" w:cs="Times New Roman"/>
          <w:sz w:val="24"/>
          <w:szCs w:val="24"/>
        </w:rPr>
        <w:t xml:space="preserve"> Les stratégies pédagogiques doivent également être adaptées aux caractéristiques des apprenants. Pescheux recommande d'utiliser des approches différenciées qui prennent en compte les niveaux de compétence, les intérêts et les motivations des apprenants. Cela peut impliquer l’utilisation de groupes de niveaux, des activités personnalisées ou encore des projets basés sur les centres d’intérêt des étudiants. En reconnaissant la diversité des apprenants, les enseignants peuvent favoriser un climat d’apprentissage positif et inclusif.</w:t>
      </w:r>
    </w:p>
    <w:p w:rsidR="00C15112" w:rsidRDefault="00C15112" w:rsidP="00F253B7">
      <w:pPr>
        <w:pStyle w:val="Paragraphedeliste"/>
        <w:numPr>
          <w:ilvl w:val="0"/>
          <w:numId w:val="10"/>
        </w:numPr>
        <w:ind w:left="142" w:hanging="142"/>
        <w:jc w:val="both"/>
        <w:rPr>
          <w:rFonts w:ascii="Times New Roman" w:hAnsi="Times New Roman" w:cs="Times New Roman"/>
          <w:sz w:val="24"/>
          <w:szCs w:val="24"/>
        </w:rPr>
      </w:pPr>
      <w:r w:rsidRPr="00F253B7">
        <w:rPr>
          <w:rFonts w:ascii="Times New Roman" w:hAnsi="Times New Roman" w:cs="Times New Roman"/>
          <w:b/>
          <w:bCs/>
          <w:sz w:val="24"/>
          <w:szCs w:val="24"/>
        </w:rPr>
        <w:t>Évaluation formative :</w:t>
      </w:r>
      <w:r w:rsidRPr="00F253B7">
        <w:rPr>
          <w:rFonts w:ascii="Times New Roman" w:hAnsi="Times New Roman" w:cs="Times New Roman"/>
          <w:sz w:val="24"/>
          <w:szCs w:val="24"/>
        </w:rPr>
        <w:t xml:space="preserve"> Enfin, l’évaluation formative joue un rôle crucial dans l’enseignement des langues. Elle permet aux enseignants de suivre les progrès des élèves en continu et d’ajuster leur enseignement en conséquence. Pescheux met en avant l’importance de fournir des retours constructifs et réguliers pour encourager les apprenants à réfléchir sur leur propre apprentissage. Des évaluations informelles, telles que des quiz en classe, des auto-évaluations ou des discussions de groupe, peuvent être mises en place pour aider les élèves à identifier leurs forces et leurs faiblesses.</w:t>
      </w:r>
    </w:p>
    <w:p w:rsidR="004B0CB7" w:rsidRPr="00F253B7" w:rsidRDefault="004B0CB7" w:rsidP="004B0CB7">
      <w:pPr>
        <w:pStyle w:val="Paragraphedeliste"/>
        <w:ind w:left="142"/>
        <w:jc w:val="both"/>
        <w:rPr>
          <w:rFonts w:ascii="Times New Roman" w:hAnsi="Times New Roman" w:cs="Times New Roman"/>
          <w:sz w:val="24"/>
          <w:szCs w:val="24"/>
        </w:rPr>
      </w:pPr>
    </w:p>
    <w:p w:rsidR="00495615" w:rsidRPr="00F253B7" w:rsidRDefault="00C15112" w:rsidP="00F253B7">
      <w:pPr>
        <w:pStyle w:val="Paragraphedeliste"/>
        <w:numPr>
          <w:ilvl w:val="0"/>
          <w:numId w:val="7"/>
        </w:numPr>
        <w:ind w:left="284" w:hanging="284"/>
        <w:jc w:val="both"/>
        <w:rPr>
          <w:rFonts w:ascii="Times New Roman" w:hAnsi="Times New Roman" w:cs="Times New Roman"/>
          <w:sz w:val="24"/>
          <w:szCs w:val="24"/>
        </w:rPr>
      </w:pPr>
      <w:r w:rsidRPr="00F253B7">
        <w:rPr>
          <w:rFonts w:ascii="Times New Roman" w:hAnsi="Times New Roman" w:cs="Times New Roman"/>
          <w:sz w:val="24"/>
          <w:szCs w:val="24"/>
        </w:rPr>
        <w:t>Les dimensions cognitives et les considérations ergonomiques dans l’enseignement des langues sont des éléments essentiels pour favoriser un apprentissage efficace. Les travaux d’Alvarez et Perron (1995) ainsi que de Pescheux (2007) soulignent la nécessité d’une approche intégrée qui combine la compréhension des processus cognitifs avec des stratégies d’enseignement adaptées et un environnement d’apprentissage optimisé. En prenant en compte ces aspects, les enseignants peuvent créer des expériences d’apprentissage enrichissantes qui facilitent l’acquisition de compétences linguistiques durables.</w:t>
      </w:r>
    </w:p>
    <w:p w:rsidR="00935A25" w:rsidRPr="00DB0572" w:rsidRDefault="00935A25" w:rsidP="00935A25">
      <w:pPr>
        <w:jc w:val="both"/>
        <w:rPr>
          <w:rFonts w:ascii="Times New Roman" w:hAnsi="Times New Roman" w:cs="Times New Roman"/>
          <w:b/>
          <w:bCs/>
          <w:sz w:val="24"/>
          <w:szCs w:val="24"/>
        </w:rPr>
      </w:pPr>
      <w:r w:rsidRPr="00DB0572">
        <w:rPr>
          <w:rFonts w:ascii="Times New Roman" w:hAnsi="Times New Roman" w:cs="Times New Roman"/>
          <w:b/>
          <w:bCs/>
          <w:sz w:val="24"/>
          <w:szCs w:val="24"/>
        </w:rPr>
        <w:t>6. Contexte d'apprentissage : en classe, dans la société et au-delà</w:t>
      </w:r>
    </w:p>
    <w:p w:rsidR="00935A25" w:rsidRPr="00DB0572" w:rsidRDefault="00935A25" w:rsidP="00935A25">
      <w:pPr>
        <w:jc w:val="both"/>
        <w:rPr>
          <w:rFonts w:ascii="Times New Roman" w:hAnsi="Times New Roman" w:cs="Times New Roman"/>
          <w:sz w:val="24"/>
          <w:szCs w:val="24"/>
        </w:rPr>
      </w:pPr>
      <w:r w:rsidRPr="00DB0572">
        <w:rPr>
          <w:rFonts w:ascii="Times New Roman" w:hAnsi="Times New Roman" w:cs="Times New Roman"/>
          <w:sz w:val="24"/>
          <w:szCs w:val="24"/>
        </w:rPr>
        <w:t>L'apprentissage des langues ne se limite pas à l'enseignement formel en classe; il s'inscrit également dans un contexte socioculturel plus large qui influence et façonne les expériences des apprenants. Les travaux de Cuq et Gruca (2005) ainsi que de Defays (2003) explorent les aspects socioculturels de l’apprentissage des langues et comparent les contextes formels et informels dans lesquels cet apprentissage se produit.</w:t>
      </w:r>
    </w:p>
    <w:p w:rsidR="00935A25" w:rsidRPr="00564B2F" w:rsidRDefault="00935A25" w:rsidP="00564B2F">
      <w:pPr>
        <w:pStyle w:val="Paragraphedeliste"/>
        <w:numPr>
          <w:ilvl w:val="0"/>
          <w:numId w:val="11"/>
        </w:numPr>
        <w:ind w:left="142" w:hanging="142"/>
        <w:jc w:val="both"/>
        <w:rPr>
          <w:rFonts w:ascii="Times New Roman" w:hAnsi="Times New Roman" w:cs="Times New Roman"/>
          <w:b/>
          <w:bCs/>
          <w:sz w:val="24"/>
          <w:szCs w:val="24"/>
        </w:rPr>
      </w:pPr>
      <w:r w:rsidRPr="00564B2F">
        <w:rPr>
          <w:rFonts w:ascii="Times New Roman" w:hAnsi="Times New Roman" w:cs="Times New Roman"/>
          <w:b/>
          <w:bCs/>
          <w:sz w:val="24"/>
          <w:szCs w:val="24"/>
        </w:rPr>
        <w:lastRenderedPageBreak/>
        <w:t>Les aspects socioculturels de l’apprentissage des langues (Cuq &amp; Gruca, 2005)</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sz w:val="24"/>
          <w:szCs w:val="24"/>
        </w:rPr>
        <w:t>Cuq et Gruca (2005) soulignent que l'apprentissage des langues est profondément ancré dans les structures sociales et culturelles. Plusieurs facteurs socioculturels jouent un rôle déterminant dans le processus d'acquisition des langues :</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Identité et langue :</w:t>
      </w:r>
      <w:r w:rsidRPr="00564B2F">
        <w:rPr>
          <w:rFonts w:ascii="Times New Roman" w:hAnsi="Times New Roman" w:cs="Times New Roman"/>
          <w:sz w:val="24"/>
          <w:szCs w:val="24"/>
        </w:rPr>
        <w:t xml:space="preserve"> La langue est un vecteur essentiel de l'identité personnelle et collective. L'apprentissage d'une langue étrangère ou seconde peut impliquer un ajustement ou une redéfinition de l'identité de l'apprenant. Les individus peuvent ressentir le besoin de s'identifier à la culture associée à la langue qu'ils apprennent, ce qui peut à son tour influencer leur motivation et leur engagement dans le processus d'apprentissage.</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Normes sociales et attitudes :</w:t>
      </w:r>
      <w:r w:rsidRPr="00564B2F">
        <w:rPr>
          <w:rFonts w:ascii="Times New Roman" w:hAnsi="Times New Roman" w:cs="Times New Roman"/>
          <w:sz w:val="24"/>
          <w:szCs w:val="24"/>
        </w:rPr>
        <w:t xml:space="preserve"> Les attitudes sociétales envers une langue donnée, ainsi que les normes et les valeurs culturelles, peuvent affecter la manière dont les apprenants abordent leur étude. Par exemple, les stéréotypes associés à certaines langues ou à leurs locuteurs peuvent influencer les perceptions des apprenants et leur motivation à apprendre. Une attitude positive envers la langue cible peut favoriser un environnement d'apprentissage stimulant, tandis qu'une attitude négative peut engendrer des obstacles.</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Ressources culturelles et linguistiques :</w:t>
      </w:r>
      <w:r w:rsidRPr="00564B2F">
        <w:rPr>
          <w:rFonts w:ascii="Times New Roman" w:hAnsi="Times New Roman" w:cs="Times New Roman"/>
          <w:sz w:val="24"/>
          <w:szCs w:val="24"/>
        </w:rPr>
        <w:t xml:space="preserve"> L'intégration des ressources culturelles dans l'apprentissage des langues est cruciale. Les apprenants qui sont exposés à des éléments culturels, tels que la littérature, la musique, le cinéma ou les coutumes des pays où la langue est parlée, peuvent développer une compréhension plus profonde et un intérêt accru pour la langue. Ces éléments culturels fournissent un contexte significatif qui enrichit l'expérience d'apprentissage.</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Inégalités d'accès à l'apprentissage :</w:t>
      </w:r>
      <w:r w:rsidRPr="00564B2F">
        <w:rPr>
          <w:rFonts w:ascii="Times New Roman" w:hAnsi="Times New Roman" w:cs="Times New Roman"/>
          <w:sz w:val="24"/>
          <w:szCs w:val="24"/>
        </w:rPr>
        <w:t xml:space="preserve"> Les structures sociales influencent également l'accès à l'apprentissage des langues. Les inégalités économiques et sociales peuvent créer des disparités dans les opportunités d'apprentissage. Par exemple, les apprenants issus de milieux défavorisés peuvent avoir moins accès à des ressources telles que des cours de langue de qualité, des supports pédagogiques ou des environnements immersifs. Il est essentiel de reconnaître ces inégalités pour concevoir des politiques d'enseignement qui favorisent l'équité dans l'apprentissage des langues.</w:t>
      </w:r>
    </w:p>
    <w:p w:rsidR="00935A25" w:rsidRPr="00564B2F" w:rsidRDefault="00935A25" w:rsidP="00564B2F">
      <w:pPr>
        <w:pStyle w:val="Paragraphedeliste"/>
        <w:numPr>
          <w:ilvl w:val="0"/>
          <w:numId w:val="11"/>
        </w:numPr>
        <w:ind w:left="142" w:hanging="142"/>
        <w:jc w:val="both"/>
        <w:rPr>
          <w:rFonts w:ascii="Times New Roman" w:hAnsi="Times New Roman" w:cs="Times New Roman"/>
          <w:b/>
          <w:bCs/>
          <w:sz w:val="24"/>
          <w:szCs w:val="24"/>
        </w:rPr>
      </w:pPr>
      <w:r w:rsidRPr="00564B2F">
        <w:rPr>
          <w:rFonts w:ascii="Times New Roman" w:hAnsi="Times New Roman" w:cs="Times New Roman"/>
          <w:b/>
          <w:bCs/>
          <w:sz w:val="24"/>
          <w:szCs w:val="24"/>
        </w:rPr>
        <w:t>Comparaison des contextes formels et informels (Defays, 2003)</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sz w:val="24"/>
          <w:szCs w:val="24"/>
        </w:rPr>
        <w:t>L'apprentissage des langues se déroule dans différents contextes, et Defays (2003) met en lumière les différences entre les contextes formels (écoles, universités) et informels (interactions quotidiennes, médias, voyages) :</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Enseignement formel :</w:t>
      </w:r>
      <w:r w:rsidRPr="00564B2F">
        <w:rPr>
          <w:rFonts w:ascii="Times New Roman" w:hAnsi="Times New Roman" w:cs="Times New Roman"/>
          <w:sz w:val="24"/>
          <w:szCs w:val="24"/>
        </w:rPr>
        <w:t xml:space="preserve"> Dans le cadre formel, l'apprentissage des langues est structuré et organisé, avec des objectifs pédagogiques définis et des méthodes d'enseignement spécifiques. Les cours sont souvent centrés sur la grammaire, le vocabulaire et les compétences linguistiques. L'enseignement formel peut offrir une base solide en langue, mais il peut aussi être perçu comme rigide ou déconnecté des réalités communicatives. De plus, les apprenants peuvent se sentir limités par le cadre académique, ce qui peut affecter leur motivation.</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Apprentissage informel :</w:t>
      </w:r>
      <w:r w:rsidRPr="00564B2F">
        <w:rPr>
          <w:rFonts w:ascii="Times New Roman" w:hAnsi="Times New Roman" w:cs="Times New Roman"/>
          <w:sz w:val="24"/>
          <w:szCs w:val="24"/>
        </w:rPr>
        <w:t xml:space="preserve"> En revanche, l'apprentissage informel se produit dans des contextes non structurés et peut être plus flexible et interactif. Les interactions avec des locuteurs natifs, l'écoute de musique, la visualisation de films ou la participation à des activités culturelles permettent aux apprenants d'utiliser la langue dans des situations authentiques et significatives. L'apprentissage informel peut également favoriser une acquisition plus naturelle et intuitive des compétences linguistiques.</w:t>
      </w:r>
    </w:p>
    <w:p w:rsidR="00935A25" w:rsidRPr="00564B2F"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lastRenderedPageBreak/>
        <w:t>Complémentarité des contextes :</w:t>
      </w:r>
      <w:r w:rsidRPr="00564B2F">
        <w:rPr>
          <w:rFonts w:ascii="Times New Roman" w:hAnsi="Times New Roman" w:cs="Times New Roman"/>
          <w:sz w:val="24"/>
          <w:szCs w:val="24"/>
        </w:rPr>
        <w:t xml:space="preserve"> Defays (2003) souligne que ces deux contextes d'apprentissage ne sont pas mutuellement exclusifs; au contraire, ils se complètent. L'apprentissage formel peut fournir des connaissances théoriques essentielles, tandis que l'apprentissage informel offre des occasions de mettre ces connaissances en pratique. En intégrant les deux approches, les apprenants peuvent développer une maîtrise plus complète de la langue. Par exemple, les enseignants peuvent encourager les élèves à participer à des échanges linguistiques ou à des activités en dehors de la classe pour renforcer leurs compétences.</w:t>
      </w:r>
    </w:p>
    <w:p w:rsidR="00935A25" w:rsidRDefault="00935A25" w:rsidP="00564B2F">
      <w:pPr>
        <w:pStyle w:val="Paragraphedeliste"/>
        <w:numPr>
          <w:ilvl w:val="0"/>
          <w:numId w:val="11"/>
        </w:numPr>
        <w:ind w:left="142" w:hanging="142"/>
        <w:jc w:val="both"/>
        <w:rPr>
          <w:rFonts w:ascii="Times New Roman" w:hAnsi="Times New Roman" w:cs="Times New Roman"/>
          <w:sz w:val="24"/>
          <w:szCs w:val="24"/>
        </w:rPr>
      </w:pPr>
      <w:r w:rsidRPr="00564B2F">
        <w:rPr>
          <w:rFonts w:ascii="Times New Roman" w:hAnsi="Times New Roman" w:cs="Times New Roman"/>
          <w:b/>
          <w:bCs/>
          <w:sz w:val="24"/>
          <w:szCs w:val="24"/>
        </w:rPr>
        <w:t>Influence du contexte socioculturel :</w:t>
      </w:r>
      <w:r w:rsidRPr="00564B2F">
        <w:rPr>
          <w:rFonts w:ascii="Times New Roman" w:hAnsi="Times New Roman" w:cs="Times New Roman"/>
          <w:sz w:val="24"/>
          <w:szCs w:val="24"/>
        </w:rPr>
        <w:t xml:space="preserve"> Les contextes d'apprentissage, qu'ils soient formels ou informels, sont également influencés par les réalités socioculturelles des apprenants. Les opportunités d'apprentissage informel varient en fonction des contextes culturels, des ressources disponibles et des attitudes envers la langue. Par conséquent, il est important pour les éducateurs de reconnaître et d'intégrer ces dimensions socioculturelles dans leurs pratiques pédagogiques.</w:t>
      </w:r>
    </w:p>
    <w:p w:rsidR="004B0CB7" w:rsidRPr="00564B2F" w:rsidRDefault="004B0CB7" w:rsidP="004B0CB7">
      <w:pPr>
        <w:pStyle w:val="Paragraphedeliste"/>
        <w:ind w:left="142"/>
        <w:jc w:val="both"/>
        <w:rPr>
          <w:rFonts w:ascii="Times New Roman" w:hAnsi="Times New Roman" w:cs="Times New Roman"/>
          <w:sz w:val="24"/>
          <w:szCs w:val="24"/>
        </w:rPr>
      </w:pPr>
    </w:p>
    <w:p w:rsidR="00495615" w:rsidRPr="00564B2F" w:rsidRDefault="00935A25" w:rsidP="00564B2F">
      <w:pPr>
        <w:pStyle w:val="Paragraphedeliste"/>
        <w:numPr>
          <w:ilvl w:val="0"/>
          <w:numId w:val="7"/>
        </w:numPr>
        <w:ind w:left="284" w:hanging="284"/>
        <w:jc w:val="both"/>
        <w:rPr>
          <w:rFonts w:ascii="Times New Roman" w:hAnsi="Times New Roman" w:cs="Times New Roman"/>
          <w:sz w:val="24"/>
          <w:szCs w:val="24"/>
        </w:rPr>
      </w:pPr>
      <w:r w:rsidRPr="00564B2F">
        <w:rPr>
          <w:rFonts w:ascii="Times New Roman" w:hAnsi="Times New Roman" w:cs="Times New Roman"/>
          <w:i/>
          <w:iCs/>
          <w:sz w:val="24"/>
          <w:szCs w:val="24"/>
        </w:rPr>
        <w:t>L’apprentissage</w:t>
      </w:r>
      <w:r w:rsidRPr="00564B2F">
        <w:rPr>
          <w:rFonts w:ascii="Times New Roman" w:hAnsi="Times New Roman" w:cs="Times New Roman"/>
          <w:sz w:val="24"/>
          <w:szCs w:val="24"/>
        </w:rPr>
        <w:t xml:space="preserve"> des langues est un processus complexe qui s'inscrit dans un contexte socioculturel riche et varié. Les travaux de Cuq et Gruca (2005) et de Defays (2003) mettent en évidence l'importance des dimensions sociales et culturelles dans l'apprentissage des langues, ainsi que les différences entre les contextes formels et informels. Une compréhension approfondie de ces éléments permet de concevoir des pratiques pédagogiques qui tiennent compte des réalités des apprenants et favorisent une acquisition linguistique efficace et significative.</w:t>
      </w:r>
    </w:p>
    <w:p w:rsidR="006E6264" w:rsidRPr="00DB0572" w:rsidRDefault="006E6264" w:rsidP="00D61C86">
      <w:pPr>
        <w:jc w:val="both"/>
        <w:rPr>
          <w:rFonts w:ascii="Times New Roman" w:hAnsi="Times New Roman" w:cs="Times New Roman"/>
          <w:b/>
          <w:bCs/>
          <w:sz w:val="24"/>
          <w:szCs w:val="24"/>
        </w:rPr>
      </w:pPr>
      <w:r w:rsidRPr="00DB0572">
        <w:rPr>
          <w:rFonts w:ascii="Times New Roman" w:hAnsi="Times New Roman" w:cs="Times New Roman"/>
          <w:b/>
          <w:bCs/>
          <w:sz w:val="24"/>
          <w:szCs w:val="24"/>
        </w:rPr>
        <w:t>7. Évaluation et mesure des acquis</w:t>
      </w:r>
    </w:p>
    <w:p w:rsidR="006E6264" w:rsidRPr="00DB0572" w:rsidRDefault="006E6264" w:rsidP="00D61C86">
      <w:pPr>
        <w:jc w:val="both"/>
        <w:rPr>
          <w:rFonts w:ascii="Times New Roman" w:hAnsi="Times New Roman" w:cs="Times New Roman"/>
          <w:sz w:val="24"/>
          <w:szCs w:val="24"/>
        </w:rPr>
      </w:pPr>
      <w:r w:rsidRPr="00DB0572">
        <w:rPr>
          <w:rFonts w:ascii="Times New Roman" w:hAnsi="Times New Roman" w:cs="Times New Roman"/>
          <w:sz w:val="24"/>
          <w:szCs w:val="24"/>
        </w:rPr>
        <w:t>L'évaluation de l'acquisition linguistique est un aspect crucial de l'enseignement des langues, permettant de mesurer les compétences des apprenants et d'ajuster les pratiques pédagogiques en conséquence. Les travaux de Barbe et Courtillon (2012) ainsi que de Besse et Galisson (1980) abordent les méthodes d’évaluation des compétences linguistiques en FLE et L2, ainsi que les défis associés à ces évaluations.</w:t>
      </w:r>
    </w:p>
    <w:p w:rsidR="006E6264" w:rsidRPr="00A70F22" w:rsidRDefault="006E6264" w:rsidP="00A70F22">
      <w:pPr>
        <w:pStyle w:val="Paragraphedeliste"/>
        <w:numPr>
          <w:ilvl w:val="0"/>
          <w:numId w:val="12"/>
        </w:numPr>
        <w:ind w:left="142" w:hanging="142"/>
        <w:jc w:val="both"/>
        <w:rPr>
          <w:rFonts w:ascii="Times New Roman" w:hAnsi="Times New Roman" w:cs="Times New Roman"/>
          <w:b/>
          <w:bCs/>
          <w:sz w:val="24"/>
          <w:szCs w:val="24"/>
        </w:rPr>
      </w:pPr>
      <w:r w:rsidRPr="00A70F22">
        <w:rPr>
          <w:rFonts w:ascii="Times New Roman" w:hAnsi="Times New Roman" w:cs="Times New Roman"/>
          <w:b/>
          <w:bCs/>
          <w:sz w:val="24"/>
          <w:szCs w:val="24"/>
        </w:rPr>
        <w:t>Évaluation de l’acquisition linguistique (Barbe &amp; Courtillon, 2012)</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Barbe et Courtillon (2012) soulignent l'importance d'utiliser des méthodes et des outils d'évaluation adaptés pour mesurer les compétences linguistiques en FLE et L2. Plusieurs éléments clés sont à considérer :</w:t>
      </w:r>
    </w:p>
    <w:p w:rsidR="006E6264" w:rsidRPr="00A70F22" w:rsidRDefault="006E6264" w:rsidP="00A70F22">
      <w:pPr>
        <w:pStyle w:val="Paragraphedeliste"/>
        <w:numPr>
          <w:ilvl w:val="0"/>
          <w:numId w:val="12"/>
        </w:numPr>
        <w:ind w:left="142" w:hanging="142"/>
        <w:jc w:val="both"/>
        <w:rPr>
          <w:rFonts w:ascii="Times New Roman" w:hAnsi="Times New Roman" w:cs="Times New Roman"/>
          <w:i/>
          <w:iCs/>
          <w:sz w:val="24"/>
          <w:szCs w:val="24"/>
        </w:rPr>
      </w:pPr>
      <w:r w:rsidRPr="00A70F22">
        <w:rPr>
          <w:rFonts w:ascii="Times New Roman" w:hAnsi="Times New Roman" w:cs="Times New Roman"/>
          <w:b/>
          <w:bCs/>
          <w:sz w:val="24"/>
          <w:szCs w:val="24"/>
        </w:rPr>
        <w:t>Types d'évaluation :</w:t>
      </w:r>
      <w:r w:rsidRPr="00A70F22">
        <w:rPr>
          <w:rFonts w:ascii="Times New Roman" w:hAnsi="Times New Roman" w:cs="Times New Roman"/>
          <w:sz w:val="24"/>
          <w:szCs w:val="24"/>
        </w:rPr>
        <w:t xml:space="preserve"> </w:t>
      </w:r>
      <w:r w:rsidRPr="00A70F22">
        <w:rPr>
          <w:rFonts w:ascii="Times New Roman" w:hAnsi="Times New Roman" w:cs="Times New Roman"/>
          <w:i/>
          <w:iCs/>
          <w:sz w:val="24"/>
          <w:szCs w:val="24"/>
        </w:rPr>
        <w:t>L'évaluation peut être diagnostique, formative ou sommative.</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L'évaluation diagnostique vise à identifier les compétences initiales des apprenants avant le début d'un cours. Elle permet aux enseignants d'adapter leur enseignement aux besoins spécifiques des élèves.</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L'évaluation formative se déroule tout au long du processus d'apprentissage et fournit un retour d'information continu aux apprenants. Cette approche encourage l'auto-évaluation et permet aux enseignants d'ajuster leurs méthodes pédagogiques.</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L'évaluation sommative a lieu à la fin d'un cours ou d'un programme et sert à mesurer l'atteinte des objectifs d'apprentissage. Elle peut prendre la forme d'examens, de tests standardisés ou de projets finaux.</w:t>
      </w:r>
    </w:p>
    <w:p w:rsidR="006E6264" w:rsidRPr="00A70F22"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lastRenderedPageBreak/>
        <w:t>Outils d’évaluation :</w:t>
      </w:r>
      <w:r w:rsidRPr="00A70F22">
        <w:rPr>
          <w:rFonts w:ascii="Times New Roman" w:hAnsi="Times New Roman" w:cs="Times New Roman"/>
          <w:sz w:val="24"/>
          <w:szCs w:val="24"/>
        </w:rPr>
        <w:t xml:space="preserve"> Les outils d'évaluation doivent être variés et adaptés aux différentes compétences linguistiques. Barbe et Courtillon recommandent d'utiliser des tests écrits, des évaluations orales, ainsi que des portfolios et des projets.</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Les tests écrits peuvent inclure des exercices de grammaire, de vocabulaire, et de compréhension de lecture, tandis que les évaluations orales peuvent consister en des entretiens ou des présentations.</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Les portfolios permettent aux apprenants de rassembler et de réfléchir sur leurs travaux, offrant une vue d'ensemble de leurs progrès et de leurs compétences.</w:t>
      </w:r>
    </w:p>
    <w:p w:rsidR="006E6264" w:rsidRPr="00A70F22"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t>Critères d'évaluation :</w:t>
      </w:r>
      <w:r w:rsidRPr="00A70F22">
        <w:rPr>
          <w:rFonts w:ascii="Times New Roman" w:hAnsi="Times New Roman" w:cs="Times New Roman"/>
          <w:sz w:val="24"/>
          <w:szCs w:val="24"/>
        </w:rPr>
        <w:t xml:space="preserve"> Pour assurer une évaluation efficace, il est crucial de définir des critères clairs et précis. Ces critères doivent être communiqués aux apprenants afin qu'ils comprennent ce qui est attendu d'eux. Les critères peuvent inclure la précision linguistique, la fluidité, la capacité à interagir et à communiquer efficacement dans la langue cible.</w:t>
      </w:r>
    </w:p>
    <w:p w:rsidR="006E6264" w:rsidRPr="00A70F22"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t>Feedback et auto-évaluation :</w:t>
      </w:r>
      <w:r w:rsidRPr="00A70F22">
        <w:rPr>
          <w:rFonts w:ascii="Times New Roman" w:hAnsi="Times New Roman" w:cs="Times New Roman"/>
          <w:sz w:val="24"/>
          <w:szCs w:val="24"/>
        </w:rPr>
        <w:t xml:space="preserve"> Un aspect fondamental de l'évaluation est le retour d'information fourni aux apprenants. Un feedback constructif et régulier permet aux élèves d'identifier leurs forces et leurs faiblesses et de progresser dans leur apprentissage. En outre, l'auto-évaluation est encouragée pour promouvoir la réflexion critique des apprenants sur leurs propres compétences et stratégies d'apprentissage.</w:t>
      </w:r>
    </w:p>
    <w:p w:rsidR="006E6264" w:rsidRPr="00A70F22" w:rsidRDefault="006E6264" w:rsidP="00A70F22">
      <w:pPr>
        <w:pStyle w:val="Paragraphedeliste"/>
        <w:numPr>
          <w:ilvl w:val="0"/>
          <w:numId w:val="12"/>
        </w:numPr>
        <w:ind w:left="142" w:hanging="142"/>
        <w:jc w:val="both"/>
        <w:rPr>
          <w:rFonts w:ascii="Times New Roman" w:hAnsi="Times New Roman" w:cs="Times New Roman"/>
          <w:b/>
          <w:bCs/>
          <w:sz w:val="24"/>
          <w:szCs w:val="24"/>
        </w:rPr>
      </w:pPr>
      <w:r w:rsidRPr="00A70F22">
        <w:rPr>
          <w:rFonts w:ascii="Times New Roman" w:hAnsi="Times New Roman" w:cs="Times New Roman"/>
          <w:b/>
          <w:bCs/>
          <w:sz w:val="24"/>
          <w:szCs w:val="24"/>
        </w:rPr>
        <w:t>Défis de l’évaluation en FLE (Besse &amp; Galisson, 1980)</w:t>
      </w:r>
    </w:p>
    <w:p w:rsidR="006E6264" w:rsidRPr="00A70F22" w:rsidRDefault="006E6264" w:rsidP="00AB7024">
      <w:pPr>
        <w:pStyle w:val="Paragraphedeliste"/>
        <w:ind w:left="142"/>
        <w:jc w:val="both"/>
        <w:rPr>
          <w:rFonts w:ascii="Times New Roman" w:hAnsi="Times New Roman" w:cs="Times New Roman"/>
          <w:sz w:val="24"/>
          <w:szCs w:val="24"/>
        </w:rPr>
      </w:pPr>
      <w:r w:rsidRPr="00A70F22">
        <w:rPr>
          <w:rFonts w:ascii="Times New Roman" w:hAnsi="Times New Roman" w:cs="Times New Roman"/>
          <w:sz w:val="24"/>
          <w:szCs w:val="24"/>
        </w:rPr>
        <w:t>Malgré l'importance de l'évaluation, Besse et Galisson (1980) mettent en lumière plusieurs défis associés à la normalisation des évaluations, en particulier pour des publics diversifiés :</w:t>
      </w:r>
    </w:p>
    <w:p w:rsidR="006E6264" w:rsidRPr="00A70F22"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t xml:space="preserve">Variabilité des apprenants : </w:t>
      </w:r>
      <w:r w:rsidRPr="00A70F22">
        <w:rPr>
          <w:rFonts w:ascii="Times New Roman" w:hAnsi="Times New Roman" w:cs="Times New Roman"/>
          <w:sz w:val="24"/>
          <w:szCs w:val="24"/>
        </w:rPr>
        <w:t>Les apprenants de FLE et L2 viennent souvent de milieux socio-culturels variés, ayant des expériences et des motivations différentes. Cette diversité rend difficile la création d'évaluations standardisées qui soient équitables et pertinentes pour tous. Les méthodes d'évaluation doivent donc être flexibles et adaptables aux spécificités des groupes d'apprenants.</w:t>
      </w:r>
    </w:p>
    <w:p w:rsidR="006E6264" w:rsidRPr="00A70F22"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t>Contexte d'apprentissage :</w:t>
      </w:r>
      <w:r w:rsidRPr="00A70F22">
        <w:rPr>
          <w:rFonts w:ascii="Times New Roman" w:hAnsi="Times New Roman" w:cs="Times New Roman"/>
          <w:sz w:val="24"/>
          <w:szCs w:val="24"/>
        </w:rPr>
        <w:t xml:space="preserve"> Les contextes d'apprentissage influencent également les résultats d'évaluation. Par exemple, un apprenant qui étudie dans un cadre formel comme une école peut avoir des opportunités d'apprentissage différentes de celles d'un apprenant qui acquiert la langue dans un contexte informel. Ces différences peuvent impacter la performance lors des évaluations, rendant difficile la comparaison des résultats entre apprenants.</w:t>
      </w:r>
    </w:p>
    <w:p w:rsidR="006E6264" w:rsidRPr="00A70F22"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t>Objectivité et subjectivité :</w:t>
      </w:r>
      <w:r w:rsidRPr="00A70F22">
        <w:rPr>
          <w:rFonts w:ascii="Times New Roman" w:hAnsi="Times New Roman" w:cs="Times New Roman"/>
          <w:sz w:val="24"/>
          <w:szCs w:val="24"/>
        </w:rPr>
        <w:t xml:space="preserve"> L'évaluation des compétences linguistiques comporte une part de subjectivité, surtout dans l'évaluation des compétences orales et de la production écrite. Les enseignants peuvent avoir des critères d'évaluation différents, ce qui peut conduire à des résultats incohérents. Il est essentiel de former les enseignants à des pratiques d'évaluation objective et d'établir des grilles d'évaluation claires pour minimiser cette subjectivité.</w:t>
      </w:r>
    </w:p>
    <w:p w:rsidR="006E6264" w:rsidRDefault="006E6264" w:rsidP="00A70F22">
      <w:pPr>
        <w:pStyle w:val="Paragraphedeliste"/>
        <w:numPr>
          <w:ilvl w:val="0"/>
          <w:numId w:val="12"/>
        </w:numPr>
        <w:ind w:left="142" w:hanging="142"/>
        <w:jc w:val="both"/>
        <w:rPr>
          <w:rFonts w:ascii="Times New Roman" w:hAnsi="Times New Roman" w:cs="Times New Roman"/>
          <w:sz w:val="24"/>
          <w:szCs w:val="24"/>
        </w:rPr>
      </w:pPr>
      <w:r w:rsidRPr="00A70F22">
        <w:rPr>
          <w:rFonts w:ascii="Times New Roman" w:hAnsi="Times New Roman" w:cs="Times New Roman"/>
          <w:b/>
          <w:bCs/>
          <w:sz w:val="24"/>
          <w:szCs w:val="24"/>
        </w:rPr>
        <w:t>Adaptation des outils d’évaluation :</w:t>
      </w:r>
      <w:r w:rsidRPr="00A70F22">
        <w:rPr>
          <w:rFonts w:ascii="Times New Roman" w:hAnsi="Times New Roman" w:cs="Times New Roman"/>
          <w:sz w:val="24"/>
          <w:szCs w:val="24"/>
        </w:rPr>
        <w:t xml:space="preserve"> Les outils d’évaluation doivent être adaptés aux différents niveaux de compétence des apprenants. Les évaluations standardisées peuvent ne pas convenir à tous les niveaux, en particulier pour les débutants qui peuvent se sentir accablés par des tests trop difficiles. Par conséquent, il est important de concevoir des évaluations qui tiennent compte des compétences spécifiques de chaque groupe d'apprenants.</w:t>
      </w:r>
    </w:p>
    <w:p w:rsidR="004B0CB7" w:rsidRPr="00A70F22" w:rsidRDefault="004B0CB7" w:rsidP="004B0CB7">
      <w:pPr>
        <w:pStyle w:val="Paragraphedeliste"/>
        <w:ind w:left="142"/>
        <w:jc w:val="both"/>
        <w:rPr>
          <w:rFonts w:ascii="Times New Roman" w:hAnsi="Times New Roman" w:cs="Times New Roman"/>
          <w:sz w:val="24"/>
          <w:szCs w:val="24"/>
        </w:rPr>
      </w:pPr>
    </w:p>
    <w:p w:rsidR="00C93F7B" w:rsidRDefault="00DC101F" w:rsidP="00A70F22">
      <w:pPr>
        <w:pStyle w:val="Paragraphedeliste"/>
        <w:numPr>
          <w:ilvl w:val="0"/>
          <w:numId w:val="7"/>
        </w:numPr>
        <w:ind w:left="284" w:hanging="284"/>
        <w:jc w:val="both"/>
        <w:rPr>
          <w:rFonts w:ascii="Times New Roman" w:hAnsi="Times New Roman" w:cs="Times New Roman"/>
          <w:sz w:val="24"/>
          <w:szCs w:val="24"/>
        </w:rPr>
      </w:pPr>
      <w:r w:rsidRPr="00A70F22">
        <w:rPr>
          <w:rFonts w:ascii="Times New Roman" w:hAnsi="Times New Roman" w:cs="Times New Roman"/>
          <w:sz w:val="24"/>
          <w:szCs w:val="24"/>
        </w:rPr>
        <w:t>L’évaluation</w:t>
      </w:r>
      <w:r w:rsidR="006E6264" w:rsidRPr="00A70F22">
        <w:rPr>
          <w:rFonts w:ascii="Times New Roman" w:hAnsi="Times New Roman" w:cs="Times New Roman"/>
          <w:sz w:val="24"/>
          <w:szCs w:val="24"/>
        </w:rPr>
        <w:t xml:space="preserve"> et la mesure des acquis en FLE et L2 sont des éléments essentiels du processus d'apprentissage. Les travaux de Barbe et Courtillon (2012) fournissent des recommandations sur les méthodes et outils d'évaluation, tandis que les défis identifiés par Besse et Galisson </w:t>
      </w:r>
      <w:r w:rsidR="006E6264" w:rsidRPr="00A70F22">
        <w:rPr>
          <w:rFonts w:ascii="Times New Roman" w:hAnsi="Times New Roman" w:cs="Times New Roman"/>
          <w:sz w:val="24"/>
          <w:szCs w:val="24"/>
        </w:rPr>
        <w:lastRenderedPageBreak/>
        <w:t>(1980) soulignent la nécessité de concevoir des pratiques d'évaluation qui soient justes et adaptées à la diversité des apprenants. Une approche équilibrée qui combine évaluation formelle et informelle, ainsi qu'une attention particulière aux spécificités des apprenants, est cruciale pour garantir une évaluation efficace et significative des compétences linguistiques.</w:t>
      </w:r>
    </w:p>
    <w:p w:rsidR="00267E61" w:rsidRPr="00A70F22" w:rsidRDefault="00267E61" w:rsidP="00267E61">
      <w:pPr>
        <w:pStyle w:val="Paragraphedeliste"/>
        <w:ind w:left="284"/>
        <w:jc w:val="both"/>
        <w:rPr>
          <w:rFonts w:ascii="Times New Roman" w:hAnsi="Times New Roman" w:cs="Times New Roman"/>
          <w:sz w:val="24"/>
          <w:szCs w:val="24"/>
        </w:rPr>
      </w:pPr>
    </w:p>
    <w:p w:rsidR="007267D3" w:rsidRPr="00F14056" w:rsidRDefault="007267D3" w:rsidP="00F14056">
      <w:pPr>
        <w:pStyle w:val="Paragraphedeliste"/>
        <w:numPr>
          <w:ilvl w:val="0"/>
          <w:numId w:val="4"/>
        </w:numPr>
        <w:ind w:left="284" w:hanging="284"/>
        <w:jc w:val="both"/>
        <w:rPr>
          <w:rFonts w:ascii="Times New Roman" w:hAnsi="Times New Roman" w:cs="Times New Roman"/>
          <w:b/>
          <w:bCs/>
          <w:sz w:val="24"/>
          <w:szCs w:val="24"/>
        </w:rPr>
      </w:pPr>
      <w:r w:rsidRPr="00F14056">
        <w:rPr>
          <w:rFonts w:ascii="Times New Roman" w:hAnsi="Times New Roman" w:cs="Times New Roman"/>
          <w:b/>
          <w:bCs/>
          <w:sz w:val="24"/>
          <w:szCs w:val="24"/>
        </w:rPr>
        <w:t>Conclusion</w:t>
      </w:r>
    </w:p>
    <w:p w:rsidR="007267D3" w:rsidRPr="00DB0572" w:rsidRDefault="007267D3" w:rsidP="00D61C86">
      <w:pPr>
        <w:jc w:val="both"/>
        <w:rPr>
          <w:rFonts w:ascii="Times New Roman" w:hAnsi="Times New Roman" w:cs="Times New Roman"/>
          <w:sz w:val="24"/>
          <w:szCs w:val="24"/>
        </w:rPr>
      </w:pPr>
      <w:r w:rsidRPr="00DB0572">
        <w:rPr>
          <w:rFonts w:ascii="Times New Roman" w:hAnsi="Times New Roman" w:cs="Times New Roman"/>
          <w:sz w:val="24"/>
          <w:szCs w:val="24"/>
        </w:rPr>
        <w:t>La didactique des langues, en tant que champ d'étude en constante évolution, se confronte à divers défis et opportunités, notamment ceux liés aux nouvelles tendances en enseignement et à l'impact des technologies éducatives. Cuq et Gruca (2005) offrent une réflexion précieuse sur ces enjeux contemporains. Les avancées technologiques transforment la manière dont les langues sont enseignées et apprises, introduisant des outils numériques et des ressources en ligne qui enrichissent l'expérience d'apprentissage. Cependant, cette évolution présente également des défis, notamment en termes de formation des enseignants, d'accessibilité des ressources et de l'intégration efficace de ces technologies dans les pratiques pédagogiques.</w:t>
      </w:r>
    </w:p>
    <w:p w:rsidR="007267D3" w:rsidRPr="00DB0572" w:rsidRDefault="007267D3" w:rsidP="00D61C86">
      <w:pPr>
        <w:jc w:val="both"/>
        <w:rPr>
          <w:rFonts w:ascii="Times New Roman" w:hAnsi="Times New Roman" w:cs="Times New Roman"/>
          <w:sz w:val="24"/>
          <w:szCs w:val="24"/>
        </w:rPr>
      </w:pPr>
      <w:r w:rsidRPr="00DB0572">
        <w:rPr>
          <w:rFonts w:ascii="Times New Roman" w:hAnsi="Times New Roman" w:cs="Times New Roman"/>
          <w:sz w:val="24"/>
          <w:szCs w:val="24"/>
        </w:rPr>
        <w:t>L’un des principaux défis réside dans la nécessité de former les enseignants à ces nouvelles technologies. Un soutien professionnel continu est essentiel pour garantir que les éducateurs soient équipés pour intégrer ces outils dans leurs méthodes d'enseignement. De plus, il est crucial de s'assurer que l'accès aux ressources numériques soit équitable pour tous les apprenants, en tenant compte des disparités socio-économiques qui peuvent affecter la disponibilité de ces technologies.</w:t>
      </w:r>
    </w:p>
    <w:p w:rsidR="007267D3" w:rsidRPr="00DB0572" w:rsidRDefault="007267D3" w:rsidP="00D61C86">
      <w:pPr>
        <w:jc w:val="both"/>
        <w:rPr>
          <w:rFonts w:ascii="Times New Roman" w:hAnsi="Times New Roman" w:cs="Times New Roman"/>
          <w:sz w:val="24"/>
          <w:szCs w:val="24"/>
        </w:rPr>
      </w:pPr>
      <w:r w:rsidRPr="00DB0572">
        <w:rPr>
          <w:rFonts w:ascii="Times New Roman" w:hAnsi="Times New Roman" w:cs="Times New Roman"/>
          <w:sz w:val="24"/>
          <w:szCs w:val="24"/>
        </w:rPr>
        <w:t>Dans cette optique, Porcher (1995) propose des recommandations pratiques pour intégrer ces réflexions dans la politique éducative et les réformes de l'éducation. Il est essentiel de développer des politiques qui soutiennent l'innovation pédagogique, encouragent l'utilisation des technologies éducatives et promeuvent une approche centrée sur l'apprenant. Cela implique également la création de programmes de formation initiale et continue pour les enseignants, axés sur les compétences numériques et les méthodes d'enseignement innovantes.</w:t>
      </w:r>
    </w:p>
    <w:p w:rsidR="007267D3" w:rsidRPr="00DB0572" w:rsidRDefault="007267D3" w:rsidP="00D61C86">
      <w:pPr>
        <w:jc w:val="both"/>
        <w:rPr>
          <w:rFonts w:ascii="Times New Roman" w:hAnsi="Times New Roman" w:cs="Times New Roman"/>
          <w:sz w:val="24"/>
          <w:szCs w:val="24"/>
        </w:rPr>
      </w:pPr>
      <w:r w:rsidRPr="00DB0572">
        <w:rPr>
          <w:rFonts w:ascii="Times New Roman" w:hAnsi="Times New Roman" w:cs="Times New Roman"/>
          <w:sz w:val="24"/>
          <w:szCs w:val="24"/>
        </w:rPr>
        <w:t>De plus, il est important d'encourager la collaboration entre les établissements d'enseignement, les chercheurs et les décideurs politiques afin de partager les meilleures pratiques et d’élaborer des stratégies cohérentes pour l'enseignement des langues. Une approche intégrée qui relie les perspectives théoriques aux applications pratiques permettra de mieux préparer les apprenants à naviguer dans un monde de plus en plus interconnecté et multilingue.</w:t>
      </w:r>
    </w:p>
    <w:p w:rsidR="007267D3" w:rsidRPr="00DB0572" w:rsidRDefault="007267D3" w:rsidP="00D61C86">
      <w:pPr>
        <w:jc w:val="both"/>
        <w:rPr>
          <w:rFonts w:ascii="Times New Roman" w:hAnsi="Times New Roman" w:cs="Times New Roman"/>
          <w:sz w:val="24"/>
          <w:szCs w:val="24"/>
        </w:rPr>
      </w:pPr>
      <w:r w:rsidRPr="00DB0572">
        <w:rPr>
          <w:rFonts w:ascii="Times New Roman" w:hAnsi="Times New Roman" w:cs="Times New Roman"/>
          <w:sz w:val="24"/>
          <w:szCs w:val="24"/>
        </w:rPr>
        <w:t>En somme, la didactique des langues doit s'adapter aux évolutions sociétales et technologiques pour rester pertinente et efficace. En surmontant les défis identifiés et en capitalisant sur les opportunités offertes par les nouvelles technologies, le domaine de la didactique des langues pourra continuer à évoluer et à répondre aux besoins diversifiés des apprenants d'aujourd'hui et de demain.</w:t>
      </w:r>
    </w:p>
    <w:p w:rsidR="007267D3" w:rsidRPr="00DB0572" w:rsidRDefault="007267D3" w:rsidP="00D61C86">
      <w:pPr>
        <w:jc w:val="both"/>
        <w:rPr>
          <w:rFonts w:ascii="Times New Roman" w:hAnsi="Times New Roman" w:cs="Times New Roman"/>
          <w:sz w:val="24"/>
          <w:szCs w:val="24"/>
        </w:rPr>
      </w:pPr>
    </w:p>
    <w:p w:rsidR="00224FB0" w:rsidRDefault="00224FB0" w:rsidP="005D2F69">
      <w:pPr>
        <w:rPr>
          <w:rFonts w:ascii="Times New Roman" w:hAnsi="Times New Roman" w:cs="Times New Roman"/>
          <w:sz w:val="24"/>
          <w:szCs w:val="24"/>
        </w:rPr>
      </w:pPr>
    </w:p>
    <w:p w:rsidR="00881C8B" w:rsidRDefault="00881C8B" w:rsidP="005D2F69">
      <w:pPr>
        <w:rPr>
          <w:rFonts w:ascii="Times New Roman" w:hAnsi="Times New Roman" w:cs="Times New Roman"/>
          <w:sz w:val="24"/>
          <w:szCs w:val="24"/>
        </w:rPr>
      </w:pPr>
    </w:p>
    <w:p w:rsidR="00EF3D0E" w:rsidRDefault="00EF3D0E" w:rsidP="005D2F69">
      <w:pPr>
        <w:rPr>
          <w:rFonts w:ascii="Times New Roman" w:hAnsi="Times New Roman" w:cs="Times New Roman"/>
          <w:sz w:val="24"/>
          <w:szCs w:val="24"/>
        </w:rPr>
      </w:pPr>
    </w:p>
    <w:p w:rsidR="00EF3D0E" w:rsidRPr="00DB0572" w:rsidRDefault="00EF3D0E" w:rsidP="005D2F69">
      <w:pPr>
        <w:rPr>
          <w:rFonts w:ascii="Times New Roman" w:hAnsi="Times New Roman" w:cs="Times New Roman"/>
          <w:sz w:val="24"/>
          <w:szCs w:val="24"/>
        </w:rPr>
      </w:pPr>
    </w:p>
    <w:p w:rsidR="005D2F69" w:rsidRPr="00DB0572" w:rsidRDefault="00C93F7B" w:rsidP="000F2814">
      <w:pPr>
        <w:pStyle w:val="Paragraphedeliste"/>
        <w:numPr>
          <w:ilvl w:val="0"/>
          <w:numId w:val="2"/>
        </w:numPr>
        <w:spacing w:after="0"/>
        <w:ind w:left="284" w:hanging="284"/>
        <w:jc w:val="both"/>
        <w:rPr>
          <w:rFonts w:ascii="Times New Roman" w:hAnsi="Times New Roman" w:cs="Times New Roman"/>
          <w:b/>
          <w:bCs/>
          <w:sz w:val="24"/>
          <w:szCs w:val="24"/>
        </w:rPr>
      </w:pPr>
      <w:r w:rsidRPr="00DB0572">
        <w:rPr>
          <w:rFonts w:ascii="Times New Roman" w:hAnsi="Times New Roman" w:cs="Times New Roman"/>
          <w:b/>
          <w:bCs/>
          <w:sz w:val="24"/>
          <w:szCs w:val="24"/>
        </w:rPr>
        <w:lastRenderedPageBreak/>
        <w:t>Références b</w:t>
      </w:r>
      <w:r w:rsidR="005D2F69" w:rsidRPr="00DB0572">
        <w:rPr>
          <w:rFonts w:ascii="Times New Roman" w:hAnsi="Times New Roman" w:cs="Times New Roman"/>
          <w:b/>
          <w:bCs/>
          <w:sz w:val="24"/>
          <w:szCs w:val="24"/>
        </w:rPr>
        <w:t>ibliographi</w:t>
      </w:r>
      <w:r w:rsidRPr="00DB0572">
        <w:rPr>
          <w:rFonts w:ascii="Times New Roman" w:hAnsi="Times New Roman" w:cs="Times New Roman"/>
          <w:b/>
          <w:bCs/>
          <w:sz w:val="24"/>
          <w:szCs w:val="24"/>
        </w:rPr>
        <w:t>qu</w:t>
      </w:r>
      <w:r w:rsidR="005D2F69" w:rsidRPr="00DB0572">
        <w:rPr>
          <w:rFonts w:ascii="Times New Roman" w:hAnsi="Times New Roman" w:cs="Times New Roman"/>
          <w:b/>
          <w:bCs/>
          <w:sz w:val="24"/>
          <w:szCs w:val="24"/>
        </w:rPr>
        <w:t>e</w:t>
      </w:r>
      <w:r w:rsidRPr="00DB0572">
        <w:rPr>
          <w:rFonts w:ascii="Times New Roman" w:hAnsi="Times New Roman" w:cs="Times New Roman"/>
          <w:b/>
          <w:bCs/>
          <w:sz w:val="24"/>
          <w:szCs w:val="24"/>
        </w:rPr>
        <w:t>s</w:t>
      </w:r>
    </w:p>
    <w:p w:rsidR="0030613B" w:rsidRPr="00DB0572" w:rsidRDefault="0030613B" w:rsidP="000F2814">
      <w:pPr>
        <w:pStyle w:val="Paragraphedeliste"/>
        <w:spacing w:after="0"/>
        <w:ind w:left="284" w:right="149" w:hanging="284"/>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Cuq JP &amp; Gruca I, </w:t>
      </w:r>
      <w:r w:rsidRPr="00DB0572">
        <w:rPr>
          <w:rFonts w:ascii="Times New Roman" w:eastAsia="Arial" w:hAnsi="Times New Roman" w:cs="Times New Roman"/>
          <w:i/>
          <w:sz w:val="24"/>
          <w:szCs w:val="24"/>
        </w:rPr>
        <w:t>Cours de didactique langue étrangère et seconde</w:t>
      </w:r>
      <w:r w:rsidRPr="00DB0572">
        <w:rPr>
          <w:rFonts w:ascii="Times New Roman" w:eastAsia="Arial" w:hAnsi="Times New Roman" w:cs="Times New Roman"/>
          <w:sz w:val="24"/>
          <w:szCs w:val="24"/>
        </w:rPr>
        <w:t xml:space="preserve">, PUG, 2005 </w:t>
      </w:r>
    </w:p>
    <w:p w:rsidR="0030613B" w:rsidRPr="00DB0572" w:rsidRDefault="0030613B" w:rsidP="000F2814">
      <w:pPr>
        <w:spacing w:after="0"/>
        <w:ind w:right="149"/>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DEFAYS J M, </w:t>
      </w:r>
      <w:r w:rsidRPr="00DB0572">
        <w:rPr>
          <w:rFonts w:ascii="Times New Roman" w:eastAsia="Arial" w:hAnsi="Times New Roman" w:cs="Times New Roman"/>
          <w:i/>
          <w:sz w:val="24"/>
          <w:szCs w:val="24"/>
        </w:rPr>
        <w:t>Le français langue étrangère et seconde, enseignement et apprentissage,</w:t>
      </w:r>
      <w:r w:rsidRPr="00DB0572">
        <w:rPr>
          <w:rFonts w:ascii="Times New Roman" w:eastAsia="Arial" w:hAnsi="Times New Roman" w:cs="Times New Roman"/>
          <w:sz w:val="24"/>
          <w:szCs w:val="24"/>
        </w:rPr>
        <w:t xml:space="preserve"> MADRAGA, 2003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PORCHER L, </w:t>
      </w:r>
      <w:r w:rsidRPr="00DB0572">
        <w:rPr>
          <w:rFonts w:ascii="Times New Roman" w:eastAsia="Arial" w:hAnsi="Times New Roman" w:cs="Times New Roman"/>
          <w:i/>
          <w:sz w:val="24"/>
          <w:szCs w:val="24"/>
        </w:rPr>
        <w:t>Le français langue étrangère: émergence et enseignement d'une discipline</w:t>
      </w:r>
      <w:r w:rsidRPr="00DB0572">
        <w:rPr>
          <w:rFonts w:ascii="Times New Roman" w:eastAsia="Arial" w:hAnsi="Times New Roman" w:cs="Times New Roman"/>
          <w:sz w:val="24"/>
          <w:szCs w:val="24"/>
        </w:rPr>
        <w:t xml:space="preserve">, Hachette Education, 1995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BARBE G &amp; COURTILLON J (sous-direction), </w:t>
      </w:r>
      <w:r w:rsidRPr="00DB0572">
        <w:rPr>
          <w:rFonts w:ascii="Times New Roman" w:eastAsia="Arial" w:hAnsi="Times New Roman" w:cs="Times New Roman"/>
          <w:i/>
          <w:sz w:val="24"/>
          <w:szCs w:val="24"/>
        </w:rPr>
        <w:t>Apprentissage d'une langue étrangère/seconde,</w:t>
      </w:r>
      <w:r w:rsidRPr="00DB0572">
        <w:rPr>
          <w:rFonts w:ascii="Times New Roman" w:eastAsia="Arial" w:hAnsi="Times New Roman" w:cs="Times New Roman"/>
          <w:sz w:val="24"/>
          <w:szCs w:val="24"/>
        </w:rPr>
        <w:t xml:space="preserve"> De Boek, 2012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PESCHEUX M, </w:t>
      </w:r>
      <w:r w:rsidRPr="00DB0572">
        <w:rPr>
          <w:rFonts w:ascii="Times New Roman" w:eastAsia="Arial" w:hAnsi="Times New Roman" w:cs="Times New Roman"/>
          <w:i/>
          <w:sz w:val="24"/>
          <w:szCs w:val="24"/>
        </w:rPr>
        <w:t>Analyse de pratique enseignante en FLE/SMémento pour une ergonomie didactique en FLE/S,</w:t>
      </w:r>
      <w:r w:rsidRPr="00DB0572">
        <w:rPr>
          <w:rFonts w:ascii="Times New Roman" w:eastAsia="Arial" w:hAnsi="Times New Roman" w:cs="Times New Roman"/>
          <w:sz w:val="24"/>
          <w:szCs w:val="24"/>
        </w:rPr>
        <w:t xml:space="preserve"> L'Harmattan, 2007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ALVAREZ G et Perron D, </w:t>
      </w:r>
      <w:r w:rsidRPr="00DB0572">
        <w:rPr>
          <w:rFonts w:ascii="Times New Roman" w:eastAsia="Arial" w:hAnsi="Times New Roman" w:cs="Times New Roman"/>
          <w:i/>
          <w:sz w:val="24"/>
          <w:szCs w:val="24"/>
        </w:rPr>
        <w:t>Concepts linguistiques en didactique des langues,</w:t>
      </w:r>
      <w:r w:rsidRPr="00DB0572">
        <w:rPr>
          <w:rFonts w:ascii="Times New Roman" w:eastAsia="Arial" w:hAnsi="Times New Roman" w:cs="Times New Roman"/>
          <w:sz w:val="24"/>
          <w:szCs w:val="24"/>
        </w:rPr>
        <w:t xml:space="preserve"> Presses de l'Université Laval, 1995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BESSE H et Galission r, </w:t>
      </w:r>
      <w:r w:rsidRPr="00DB0572">
        <w:rPr>
          <w:rFonts w:ascii="Times New Roman" w:eastAsia="Arial" w:hAnsi="Times New Roman" w:cs="Times New Roman"/>
          <w:i/>
          <w:sz w:val="24"/>
          <w:szCs w:val="24"/>
        </w:rPr>
        <w:t>Polémique en didactique: du renouveau en question</w:t>
      </w:r>
      <w:r w:rsidRPr="00DB0572">
        <w:rPr>
          <w:rFonts w:ascii="Times New Roman" w:eastAsia="Arial" w:hAnsi="Times New Roman" w:cs="Times New Roman"/>
          <w:sz w:val="24"/>
          <w:szCs w:val="24"/>
        </w:rPr>
        <w:t xml:space="preserve">, CLE International, 1980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BLOOM B.S, </w:t>
      </w:r>
      <w:r w:rsidRPr="00DB0572">
        <w:rPr>
          <w:rFonts w:ascii="Times New Roman" w:eastAsia="Arial" w:hAnsi="Times New Roman" w:cs="Times New Roman"/>
          <w:i/>
          <w:sz w:val="24"/>
          <w:szCs w:val="24"/>
        </w:rPr>
        <w:t>Taxonomie des objectifs pédagogiques</w:t>
      </w:r>
      <w:r w:rsidRPr="00DB0572">
        <w:rPr>
          <w:rFonts w:ascii="Times New Roman" w:eastAsia="Arial" w:hAnsi="Times New Roman" w:cs="Times New Roman"/>
          <w:sz w:val="24"/>
          <w:szCs w:val="24"/>
        </w:rPr>
        <w:t xml:space="preserve">, Presses de l'Université du Québec, 1982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GALISSON R, </w:t>
      </w:r>
      <w:r w:rsidRPr="00DB0572">
        <w:rPr>
          <w:rFonts w:ascii="Times New Roman" w:eastAsia="Arial" w:hAnsi="Times New Roman" w:cs="Times New Roman"/>
          <w:i/>
          <w:sz w:val="24"/>
          <w:szCs w:val="24"/>
        </w:rPr>
        <w:t>D'hier à aujourd'hui la didactique générale des langues étrangères: du structuralisme au fonctionnalisme,</w:t>
      </w:r>
      <w:r w:rsidRPr="00DB0572">
        <w:rPr>
          <w:rFonts w:ascii="Times New Roman" w:eastAsia="Arial" w:hAnsi="Times New Roman" w:cs="Times New Roman"/>
          <w:sz w:val="24"/>
          <w:szCs w:val="24"/>
        </w:rPr>
        <w:t xml:space="preserve"> CLE Internationale, 1980 </w:t>
      </w:r>
    </w:p>
    <w:p w:rsidR="0030613B" w:rsidRPr="00DB0572" w:rsidRDefault="0030613B" w:rsidP="000F2814">
      <w:pPr>
        <w:spacing w:after="0" w:line="276" w:lineRule="auto"/>
        <w:ind w:right="117"/>
        <w:jc w:val="both"/>
        <w:rPr>
          <w:rFonts w:ascii="Times New Roman" w:eastAsia="Arial" w:hAnsi="Times New Roman" w:cs="Times New Roman"/>
          <w:sz w:val="24"/>
          <w:szCs w:val="24"/>
        </w:rPr>
      </w:pPr>
      <w:r w:rsidRPr="00DB0572">
        <w:rPr>
          <w:rFonts w:ascii="Times New Roman" w:eastAsia="Arial" w:hAnsi="Times New Roman" w:cs="Times New Roman"/>
          <w:sz w:val="24"/>
          <w:szCs w:val="24"/>
        </w:rPr>
        <w:t xml:space="preserve">PUREN C, Bertoccini </w:t>
      </w:r>
      <w:r w:rsidR="00881C8B" w:rsidRPr="00DB0572">
        <w:rPr>
          <w:rFonts w:ascii="Times New Roman" w:eastAsia="Arial" w:hAnsi="Times New Roman" w:cs="Times New Roman"/>
          <w:sz w:val="24"/>
          <w:szCs w:val="24"/>
        </w:rPr>
        <w:t>et Costanzo</w:t>
      </w:r>
      <w:r w:rsidRPr="00DB0572">
        <w:rPr>
          <w:rFonts w:ascii="Times New Roman" w:eastAsia="Arial" w:hAnsi="Times New Roman" w:cs="Times New Roman"/>
          <w:sz w:val="24"/>
          <w:szCs w:val="24"/>
        </w:rPr>
        <w:t xml:space="preserve"> E, </w:t>
      </w:r>
      <w:r w:rsidRPr="00DB0572">
        <w:rPr>
          <w:rFonts w:ascii="Times New Roman" w:eastAsia="Arial" w:hAnsi="Times New Roman" w:cs="Times New Roman"/>
          <w:i/>
          <w:sz w:val="24"/>
          <w:szCs w:val="24"/>
        </w:rPr>
        <w:t>Se former en didactique des langues</w:t>
      </w:r>
      <w:r w:rsidRPr="00DB0572">
        <w:rPr>
          <w:rFonts w:ascii="Times New Roman" w:eastAsia="Arial" w:hAnsi="Times New Roman" w:cs="Times New Roman"/>
          <w:sz w:val="24"/>
          <w:szCs w:val="24"/>
        </w:rPr>
        <w:t xml:space="preserve">, ellipses, 1998 </w:t>
      </w:r>
    </w:p>
    <w:p w:rsidR="0030613B" w:rsidRPr="00DB0572" w:rsidRDefault="0030613B" w:rsidP="000F2814">
      <w:pPr>
        <w:spacing w:after="0"/>
        <w:ind w:left="284" w:right="117"/>
        <w:jc w:val="both"/>
        <w:rPr>
          <w:rFonts w:ascii="Comic Sans MS" w:eastAsia="Arial" w:hAnsi="Comic Sans MS" w:cs="Times New Roman"/>
        </w:rPr>
      </w:pPr>
    </w:p>
    <w:p w:rsidR="005D2F69" w:rsidRPr="00DB0572" w:rsidRDefault="005D2F69" w:rsidP="0030613B">
      <w:pPr>
        <w:rPr>
          <w:rFonts w:ascii="Times New Roman" w:hAnsi="Times New Roman" w:cs="Times New Roman"/>
          <w:sz w:val="24"/>
          <w:szCs w:val="24"/>
        </w:rPr>
      </w:pPr>
    </w:p>
    <w:sectPr w:rsidR="005D2F69" w:rsidRPr="00DB0572" w:rsidSect="0039416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29A" w:rsidRDefault="00F0729A" w:rsidP="00A70280">
      <w:pPr>
        <w:spacing w:after="0" w:line="240" w:lineRule="auto"/>
      </w:pPr>
      <w:r>
        <w:separator/>
      </w:r>
    </w:p>
  </w:endnote>
  <w:endnote w:type="continuationSeparator" w:id="0">
    <w:p w:rsidR="00F0729A" w:rsidRDefault="00F0729A" w:rsidP="00A70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612862"/>
      <w:docPartObj>
        <w:docPartGallery w:val="Page Numbers (Bottom of Page)"/>
        <w:docPartUnique/>
      </w:docPartObj>
    </w:sdtPr>
    <w:sdtEndPr/>
    <w:sdtContent>
      <w:p w:rsidR="00A70280" w:rsidRDefault="00A7028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2338"/>
                            </a:avLst>
                          </a:prstGeom>
                          <a:solidFill>
                            <a:srgbClr val="FFFFFF"/>
                          </a:solidFill>
                          <a:ln w="3175">
                            <a:solidFill>
                              <a:srgbClr val="808080"/>
                            </a:solidFill>
                            <a:round/>
                            <a:headEnd/>
                            <a:tailEnd/>
                          </a:ln>
                        </wps:spPr>
                        <wps:txbx>
                          <w:txbxContent>
                            <w:p w:rsidR="00A70280" w:rsidRDefault="00A70280">
                              <w:pPr>
                                <w:jc w:val="center"/>
                              </w:pPr>
                              <w:r>
                                <w:fldChar w:fldCharType="begin"/>
                              </w:r>
                              <w:r>
                                <w:instrText>PAGE    \* MERGEFORMAT</w:instrText>
                              </w:r>
                              <w:r>
                                <w:fldChar w:fldCharType="separate"/>
                              </w:r>
                              <w:r w:rsidR="0064707F" w:rsidRPr="0064707F">
                                <w:rPr>
                                  <w:noProof/>
                                  <w:sz w:val="16"/>
                                  <w:szCs w:val="16"/>
                                </w:rPr>
                                <w:t>18</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" o:allowincell="f" adj="18935" strokecolor="gray" strokeweight=".25pt">
                  <v:textbox>
                    <w:txbxContent>
                      <w:p w:rsidR="00A70280" w:rsidRDefault="00A70280">
                        <w:pPr>
                          <w:jc w:val="center"/>
                        </w:pPr>
                        <w:r>
                          <w:fldChar w:fldCharType="begin"/>
                        </w:r>
                        <w:r>
                          <w:instrText>PAGE    \* MERGEFORMAT</w:instrText>
                        </w:r>
                        <w:r>
                          <w:fldChar w:fldCharType="separate"/>
                        </w:r>
                        <w:r w:rsidR="0064707F" w:rsidRPr="0064707F">
                          <w:rPr>
                            <w:noProof/>
                            <w:sz w:val="16"/>
                            <w:szCs w:val="16"/>
                          </w:rPr>
                          <w:t>18</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3047655"/>
      <w:docPartObj>
        <w:docPartGallery w:val="Page Numbers (Bottom of Page)"/>
        <w:docPartUnique/>
      </w:docPartObj>
    </w:sdtPr>
    <w:sdtEndPr/>
    <w:sdtContent>
      <w:p w:rsidR="00A70280" w:rsidRDefault="00A70280">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3449"/>
                            </a:avLst>
                          </a:prstGeom>
                          <a:solidFill>
                            <a:srgbClr val="FFFFFF"/>
                          </a:solidFill>
                          <a:ln w="3175">
                            <a:solidFill>
                              <a:srgbClr val="808080"/>
                            </a:solidFill>
                            <a:round/>
                            <a:headEnd/>
                            <a:tailEnd/>
                          </a:ln>
                        </wps:spPr>
                        <wps:txbx>
                          <w:txbxContent>
                            <w:p w:rsidR="00A70280" w:rsidRDefault="00A70280">
                              <w:pPr>
                                <w:jc w:val="center"/>
                              </w:pPr>
                              <w:r>
                                <w:fldChar w:fldCharType="begin"/>
                              </w:r>
                              <w:r>
                                <w:instrText>PAGE    \* MERGEFORMAT</w:instrText>
                              </w:r>
                              <w:r>
                                <w:fldChar w:fldCharType="separate"/>
                              </w:r>
                              <w:r w:rsidR="0064707F" w:rsidRPr="0064707F">
                                <w:rPr>
                                  <w:noProof/>
                                  <w:sz w:val="16"/>
                                  <w:szCs w:val="16"/>
                                </w:rPr>
                                <w:t>17</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8"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" o:allowincell="f" adj="16535" strokecolor="gray" strokeweight=".25pt">
                  <v:textbox>
                    <w:txbxContent>
                      <w:p w:rsidR="00A70280" w:rsidRDefault="00A70280">
                        <w:pPr>
                          <w:jc w:val="center"/>
                        </w:pPr>
                        <w:r>
                          <w:fldChar w:fldCharType="begin"/>
                        </w:r>
                        <w:r>
                          <w:instrText>PAGE    \* MERGEFORMAT</w:instrText>
                        </w:r>
                        <w:r>
                          <w:fldChar w:fldCharType="separate"/>
                        </w:r>
                        <w:r w:rsidR="0064707F" w:rsidRPr="0064707F">
                          <w:rPr>
                            <w:noProof/>
                            <w:sz w:val="16"/>
                            <w:szCs w:val="16"/>
                          </w:rPr>
                          <w:t>17</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D4" w:rsidRDefault="003715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29A" w:rsidRDefault="00F0729A" w:rsidP="00A70280">
      <w:pPr>
        <w:spacing w:after="0" w:line="240" w:lineRule="auto"/>
      </w:pPr>
      <w:r>
        <w:separator/>
      </w:r>
    </w:p>
  </w:footnote>
  <w:footnote w:type="continuationSeparator" w:id="0">
    <w:p w:rsidR="00F0729A" w:rsidRDefault="00F0729A" w:rsidP="00A70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08A" w:rsidRPr="003715D4" w:rsidRDefault="00D2208A" w:rsidP="003715D4">
    <w:pPr>
      <w:pStyle w:val="En-tte"/>
      <w:jc w:val="center"/>
      <w:rPr>
        <w:rFonts w:ascii="Times New Roman" w:hAnsi="Times New Roman" w:cs="Times New Roman"/>
        <w:sz w:val="16"/>
        <w:szCs w:val="16"/>
      </w:rPr>
    </w:pPr>
    <w:r w:rsidRPr="003715D4">
      <w:rPr>
        <w:rFonts w:ascii="Times New Roman" w:hAnsi="Times New Roman" w:cs="Times New Roman"/>
        <w:b/>
        <w:bCs/>
        <w:sz w:val="16"/>
        <w:szCs w:val="16"/>
      </w:rPr>
      <w:t>Cours </w:t>
    </w:r>
    <w:r w:rsidRPr="003715D4">
      <w:rPr>
        <w:rFonts w:ascii="Times New Roman" w:hAnsi="Times New Roman" w:cs="Times New Roman"/>
        <w:sz w:val="16"/>
        <w:szCs w:val="16"/>
      </w:rPr>
      <w:t xml:space="preserve">: </w:t>
    </w:r>
    <w:r w:rsidRPr="003715D4">
      <w:rPr>
        <w:rFonts w:ascii="Times New Roman" w:hAnsi="Times New Roman" w:cs="Times New Roman"/>
        <w:b/>
        <w:bCs/>
        <w:sz w:val="16"/>
        <w:szCs w:val="16"/>
      </w:rPr>
      <w:t>T</w:t>
    </w:r>
    <w:r w:rsidRPr="003715D4">
      <w:rPr>
        <w:rFonts w:ascii="Times New Roman" w:hAnsi="Times New Roman" w:cs="Times New Roman"/>
        <w:sz w:val="16"/>
        <w:szCs w:val="16"/>
      </w:rPr>
      <w:t>héories et</w:t>
    </w:r>
    <w:r w:rsidRPr="003715D4">
      <w:rPr>
        <w:rFonts w:ascii="Times New Roman" w:hAnsi="Times New Roman" w:cs="Times New Roman"/>
        <w:b/>
        <w:bCs/>
        <w:sz w:val="16"/>
        <w:szCs w:val="16"/>
      </w:rPr>
      <w:t xml:space="preserve"> D</w:t>
    </w:r>
    <w:r w:rsidRPr="003715D4">
      <w:rPr>
        <w:rFonts w:ascii="Times New Roman" w:hAnsi="Times New Roman" w:cs="Times New Roman"/>
        <w:sz w:val="16"/>
        <w:szCs w:val="16"/>
      </w:rPr>
      <w:t xml:space="preserve">émarches en </w:t>
    </w:r>
    <w:r w:rsidRPr="003715D4">
      <w:rPr>
        <w:rFonts w:ascii="Times New Roman" w:hAnsi="Times New Roman" w:cs="Times New Roman"/>
        <w:b/>
        <w:bCs/>
        <w:sz w:val="16"/>
        <w:szCs w:val="16"/>
      </w:rPr>
      <w:t>D</w:t>
    </w:r>
    <w:r w:rsidRPr="003715D4">
      <w:rPr>
        <w:rFonts w:ascii="Times New Roman" w:hAnsi="Times New Roman" w:cs="Times New Roman"/>
        <w:sz w:val="16"/>
        <w:szCs w:val="16"/>
      </w:rPr>
      <w:t>idactiques ………..……</w:t>
    </w:r>
    <w:r w:rsidRPr="003715D4">
      <w:rPr>
        <w:rFonts w:ascii="Times New Roman" w:hAnsi="Times New Roman" w:cs="Times New Roman"/>
        <w:b/>
        <w:bCs/>
        <w:sz w:val="16"/>
        <w:szCs w:val="16"/>
      </w:rPr>
      <w:t>Master 01</w:t>
    </w:r>
    <w:r w:rsidRPr="003715D4">
      <w:rPr>
        <w:rFonts w:ascii="Times New Roman" w:hAnsi="Times New Roman" w:cs="Times New Roman"/>
        <w:sz w:val="16"/>
        <w:szCs w:val="16"/>
      </w:rPr>
      <w:t>……..……….…. Dr. AZZOUZI. Tarek</w:t>
    </w:r>
  </w:p>
  <w:p w:rsidR="00D2208A" w:rsidRDefault="00D2208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D4" w:rsidRDefault="003715D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5D4" w:rsidRDefault="003715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09F9"/>
    <w:multiLevelType w:val="hybridMultilevel"/>
    <w:tmpl w:val="86F045AC"/>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79623C"/>
    <w:multiLevelType w:val="hybridMultilevel"/>
    <w:tmpl w:val="BE6606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9C33D0"/>
    <w:multiLevelType w:val="hybridMultilevel"/>
    <w:tmpl w:val="D4F68E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F7019E"/>
    <w:multiLevelType w:val="hybridMultilevel"/>
    <w:tmpl w:val="55947F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C318EF"/>
    <w:multiLevelType w:val="hybridMultilevel"/>
    <w:tmpl w:val="7022488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75466F"/>
    <w:multiLevelType w:val="hybridMultilevel"/>
    <w:tmpl w:val="C48E1EF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9A3EF1"/>
    <w:multiLevelType w:val="hybridMultilevel"/>
    <w:tmpl w:val="BF70A7D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FB0AC6"/>
    <w:multiLevelType w:val="hybridMultilevel"/>
    <w:tmpl w:val="DAA0D6A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2D22F8F"/>
    <w:multiLevelType w:val="hybridMultilevel"/>
    <w:tmpl w:val="7DDE492E"/>
    <w:lvl w:ilvl="0" w:tplc="71822428">
      <w:start w:val="1"/>
      <w:numFmt w:val="bullet"/>
      <w:lvlText w:val="-"/>
      <w:lvlJc w:val="left"/>
      <w:pPr>
        <w:ind w:left="720" w:hanging="360"/>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FB414C"/>
    <w:multiLevelType w:val="hybridMultilevel"/>
    <w:tmpl w:val="6780F9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321CC7"/>
    <w:multiLevelType w:val="hybridMultilevel"/>
    <w:tmpl w:val="6846AA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743590"/>
    <w:multiLevelType w:val="hybridMultilevel"/>
    <w:tmpl w:val="18A26E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3628BD"/>
    <w:multiLevelType w:val="hybridMultilevel"/>
    <w:tmpl w:val="29BC73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5"/>
  </w:num>
  <w:num w:numId="5">
    <w:abstractNumId w:val="10"/>
  </w:num>
  <w:num w:numId="6">
    <w:abstractNumId w:val="0"/>
  </w:num>
  <w:num w:numId="7">
    <w:abstractNumId w:val="7"/>
  </w:num>
  <w:num w:numId="8">
    <w:abstractNumId w:val="9"/>
  </w:num>
  <w:num w:numId="9">
    <w:abstractNumId w:val="2"/>
  </w:num>
  <w:num w:numId="10">
    <w:abstractNumId w:val="12"/>
  </w:num>
  <w:num w:numId="11">
    <w:abstractNumId w:val="1"/>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43C"/>
    <w:rsid w:val="00000D10"/>
    <w:rsid w:val="000029E7"/>
    <w:rsid w:val="00017B13"/>
    <w:rsid w:val="00050C27"/>
    <w:rsid w:val="00063FBE"/>
    <w:rsid w:val="000C2654"/>
    <w:rsid w:val="000D0C3E"/>
    <w:rsid w:val="000D2A4C"/>
    <w:rsid w:val="000D4CD5"/>
    <w:rsid w:val="000F2814"/>
    <w:rsid w:val="000F6624"/>
    <w:rsid w:val="001110FC"/>
    <w:rsid w:val="0011559E"/>
    <w:rsid w:val="00171DE2"/>
    <w:rsid w:val="00224FB0"/>
    <w:rsid w:val="00267E61"/>
    <w:rsid w:val="002D6742"/>
    <w:rsid w:val="0030613B"/>
    <w:rsid w:val="00312F9E"/>
    <w:rsid w:val="003709EE"/>
    <w:rsid w:val="003715D4"/>
    <w:rsid w:val="00373D3B"/>
    <w:rsid w:val="00376DD3"/>
    <w:rsid w:val="00377924"/>
    <w:rsid w:val="00394160"/>
    <w:rsid w:val="00394647"/>
    <w:rsid w:val="00396033"/>
    <w:rsid w:val="003D6471"/>
    <w:rsid w:val="004022D4"/>
    <w:rsid w:val="004433FE"/>
    <w:rsid w:val="00495615"/>
    <w:rsid w:val="0049731C"/>
    <w:rsid w:val="004A7EBF"/>
    <w:rsid w:val="004B0CB7"/>
    <w:rsid w:val="004C3BC5"/>
    <w:rsid w:val="004C7DED"/>
    <w:rsid w:val="00553A24"/>
    <w:rsid w:val="00564B2F"/>
    <w:rsid w:val="0056548B"/>
    <w:rsid w:val="005D0291"/>
    <w:rsid w:val="005D2F69"/>
    <w:rsid w:val="005E0DCE"/>
    <w:rsid w:val="0064707F"/>
    <w:rsid w:val="00660496"/>
    <w:rsid w:val="00686429"/>
    <w:rsid w:val="006C7FB0"/>
    <w:rsid w:val="006E02EF"/>
    <w:rsid w:val="006E6264"/>
    <w:rsid w:val="007267D3"/>
    <w:rsid w:val="007541D7"/>
    <w:rsid w:val="007D1DEB"/>
    <w:rsid w:val="007F2F22"/>
    <w:rsid w:val="00807B55"/>
    <w:rsid w:val="00807E58"/>
    <w:rsid w:val="00817757"/>
    <w:rsid w:val="00881C8B"/>
    <w:rsid w:val="00935A25"/>
    <w:rsid w:val="009749FD"/>
    <w:rsid w:val="009928E3"/>
    <w:rsid w:val="009C0142"/>
    <w:rsid w:val="009C0E9F"/>
    <w:rsid w:val="009D3A39"/>
    <w:rsid w:val="009E381F"/>
    <w:rsid w:val="009F4568"/>
    <w:rsid w:val="00A17547"/>
    <w:rsid w:val="00A45CB7"/>
    <w:rsid w:val="00A70280"/>
    <w:rsid w:val="00A70F22"/>
    <w:rsid w:val="00A823BB"/>
    <w:rsid w:val="00AB7024"/>
    <w:rsid w:val="00AB7DA4"/>
    <w:rsid w:val="00B04894"/>
    <w:rsid w:val="00B533B2"/>
    <w:rsid w:val="00BB1DA7"/>
    <w:rsid w:val="00BB5646"/>
    <w:rsid w:val="00BD0BE9"/>
    <w:rsid w:val="00BD4184"/>
    <w:rsid w:val="00BF0F15"/>
    <w:rsid w:val="00C03BC4"/>
    <w:rsid w:val="00C15112"/>
    <w:rsid w:val="00C34603"/>
    <w:rsid w:val="00C56C06"/>
    <w:rsid w:val="00C93F7B"/>
    <w:rsid w:val="00CC2FC3"/>
    <w:rsid w:val="00D2208A"/>
    <w:rsid w:val="00D52DA5"/>
    <w:rsid w:val="00D61C86"/>
    <w:rsid w:val="00D72016"/>
    <w:rsid w:val="00DA411D"/>
    <w:rsid w:val="00DB0572"/>
    <w:rsid w:val="00DC101F"/>
    <w:rsid w:val="00DE2209"/>
    <w:rsid w:val="00E40814"/>
    <w:rsid w:val="00E5143C"/>
    <w:rsid w:val="00E62FDF"/>
    <w:rsid w:val="00ED1F8E"/>
    <w:rsid w:val="00EF3D0E"/>
    <w:rsid w:val="00EF5055"/>
    <w:rsid w:val="00F0729A"/>
    <w:rsid w:val="00F105EE"/>
    <w:rsid w:val="00F14056"/>
    <w:rsid w:val="00F253B7"/>
    <w:rsid w:val="00F557B1"/>
    <w:rsid w:val="00FD574A"/>
    <w:rsid w:val="00FE2D39"/>
    <w:rsid w:val="00FF3FB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6016C"/>
  <w15:chartTrackingRefBased/>
  <w15:docId w15:val="{B7C4B610-1A0B-4E7F-A76A-E5674394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3B2"/>
    <w:rPr>
      <w:rFonts w:eastAsia="Times New Roman"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0613B"/>
    <w:pPr>
      <w:spacing w:after="200" w:line="276" w:lineRule="auto"/>
      <w:ind w:left="720"/>
      <w:contextualSpacing/>
    </w:pPr>
    <w:rPr>
      <w:rFonts w:eastAsiaTheme="minorEastAsia" w:cstheme="minorBidi"/>
      <w:lang w:eastAsia="fr-FR"/>
    </w:rPr>
  </w:style>
  <w:style w:type="paragraph" w:styleId="En-tte">
    <w:name w:val="header"/>
    <w:basedOn w:val="Normal"/>
    <w:link w:val="En-tteCar"/>
    <w:uiPriority w:val="99"/>
    <w:unhideWhenUsed/>
    <w:rsid w:val="00A70280"/>
    <w:pPr>
      <w:tabs>
        <w:tab w:val="center" w:pos="4536"/>
        <w:tab w:val="right" w:pos="9072"/>
      </w:tabs>
      <w:spacing w:after="0" w:line="240" w:lineRule="auto"/>
    </w:pPr>
  </w:style>
  <w:style w:type="character" w:customStyle="1" w:styleId="En-tteCar">
    <w:name w:val="En-tête Car"/>
    <w:basedOn w:val="Policepardfaut"/>
    <w:link w:val="En-tte"/>
    <w:uiPriority w:val="99"/>
    <w:rsid w:val="00A70280"/>
    <w:rPr>
      <w:rFonts w:eastAsia="Times New Roman" w:cs="Arial"/>
    </w:rPr>
  </w:style>
  <w:style w:type="paragraph" w:styleId="Pieddepage">
    <w:name w:val="footer"/>
    <w:basedOn w:val="Normal"/>
    <w:link w:val="PieddepageCar"/>
    <w:uiPriority w:val="99"/>
    <w:unhideWhenUsed/>
    <w:rsid w:val="00A7028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0280"/>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35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18</Pages>
  <Words>8651</Words>
  <Characters>47584</Characters>
  <Application>Microsoft Office Word</Application>
  <DocSecurity>0</DocSecurity>
  <Lines>396</Lines>
  <Paragraphs>112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112</cp:revision>
  <dcterms:created xsi:type="dcterms:W3CDTF">2024-10-17T15:47:00Z</dcterms:created>
  <dcterms:modified xsi:type="dcterms:W3CDTF">2024-11-04T19:43:00Z</dcterms:modified>
</cp:coreProperties>
</file>